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aps/>
          <w:color w:val="8A4FBE"/>
          <w:sz w:val="16"/>
          <w:szCs w:val="16"/>
        </w:rPr>
        <w:t xml:space="preserve">COMPANION DOCUMENT</w:t>
      </w:r>
    </w:p>
    <w:p>
      <w:pPr>
        <w:pBdr>
          <w:bottom w:val="single" w:color="C9BFDD" w:sz="6" w:space="6"/>
        </w:pBdr>
        <w:spacing w:after="0" w:before="40"/>
      </w:pPr>
      <w:r>
        <w:rPr>
          <w:rFonts w:ascii="Calibri" w:cs="Calibri" w:eastAsia="Calibri" w:hAnsi="Calibri"/>
          <w:b/>
          <w:bCs/>
          <w:color w:val="5B3E8E"/>
          <w:sz w:val="34"/>
          <w:szCs w:val="34"/>
        </w:rPr>
        <w:t xml:space="preserve">Thesis Schedule &amp; Effort Plan</w:t>
      </w:r>
    </w:p>
    <w:p>
      <w:pPr>
        <w:spacing w:after="120" w:before="80"/>
      </w:pPr>
      <w:r>
        <w:rPr>
          <w:rFonts w:ascii="Georgia" w:cs="Georgia" w:eastAsia="Georgia" w:hAnsi="Georgia"/>
          <w:i/>
          <w:iCs/>
          <w:color w:val="5A5470"/>
          <w:sz w:val="18"/>
          <w:szCs w:val="18"/>
        </w:rPr>
        <w:t xml:space="preserve">Automated Multi-Pitch Occupancy &amp; Booking Verification — Master's Thesis</w:t>
      </w: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8A4FBE"/>
          <w:sz w:val="22"/>
          <w:szCs w:val="22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Georgia" w:cs="Georgia" w:eastAsia="Georgia" w:hAnsi="Georgia"/>
          <w:b/>
          <w:bCs/>
          <w:color w:val="1B2430"/>
          <w:sz w:val="18"/>
          <w:szCs w:val="18"/>
        </w:rPr>
        <w:t xml:space="preserve">Baseline plan: </w:t>
      </w:r>
      <w:r>
        <w:rPr>
          <w:rFonts w:ascii="Georgia" w:cs="Georgia" w:eastAsia="Georgia" w:hAnsi="Georgia"/>
          <w:color w:val="1B2430"/>
          <w:sz w:val="18"/>
          <w:szCs w:val="18"/>
        </w:rPr>
        <w:t xml:space="preserve">~24 weeks (6 months) full-time, ~35 productive hours/week (~840 hours total). Part-time or 16-week variants are noted at the end.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Georgia" w:cs="Georgia" w:eastAsia="Georgia" w:hAnsi="Georgia"/>
          <w:b/>
          <w:bCs/>
          <w:color w:val="1B2430"/>
          <w:sz w:val="18"/>
          <w:szCs w:val="18"/>
        </w:rPr>
        <w:t xml:space="preserve">Overlap is deliberate: </w:t>
      </w:r>
      <w:r>
        <w:rPr>
          <w:rFonts w:ascii="Georgia" w:cs="Georgia" w:eastAsia="Georgia" w:hAnsi="Georgia"/>
          <w:color w:val="1B2430"/>
          <w:sz w:val="18"/>
          <w:szCs w:val="18"/>
        </w:rPr>
        <w:t xml:space="preserve">writing, data collection, and experiments run in parallel — the week numbers below are start/end spans, not strictly sequential blocks.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Georgia" w:cs="Georgia" w:eastAsia="Georgia" w:hAnsi="Georgia"/>
          <w:color w:val="1B2430"/>
          <w:sz w:val="18"/>
          <w:szCs w:val="18"/>
        </w:rPr>
        <w:t xml:space="preserve">Milestones (M1–M7) are supervisor checkpoints; each has a clear exit criterion so slippage is caught early.</w:t>
      </w: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8A4FBE"/>
          <w:sz w:val="22"/>
          <w:szCs w:val="22"/>
        </w:rPr>
        <w:t xml:space="preserve">Work Packages, Effort &amp; Dependencies</w:t>
      </w:r>
    </w:p>
    <w:tbl>
      <w:tblPr>
        <w:tblW w:type="dxa" w:w="9650"/>
        <w:tblBorders>
          <w:top w:val="single" w:color="C9BFDD" w:sz="4"/>
          <w:left w:val="single" w:color="C9BFDD" w:sz="4"/>
          <w:bottom w:val="single" w:color="C9BFDD" w:sz="4"/>
          <w:right w:val="single" w:color="C9BFDD" w:sz="4"/>
          <w:insideH w:val="single" w:color="C9BFDD" w:sz="4"/>
          <w:insideV w:val="single" w:color="C9BFDD" w:sz="4"/>
        </w:tblBorders>
      </w:tblPr>
      <w:tblGrid>
        <w:gridCol w:w="500"/>
        <w:gridCol w:w="3450"/>
        <w:gridCol w:w="1150"/>
        <w:gridCol w:w="1000"/>
        <w:gridCol w:w="2400"/>
        <w:gridCol w:w="1150"/>
      </w:tblGrid>
      <w:tr>
        <w:trPr>
          <w:tblHeader/>
        </w:trPr>
        <w:tc>
          <w:tcPr>
            <w:tcW w:type="dxa" w:w="500"/>
            <w:shd w:fill="2E235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WP</w:t>
            </w:r>
          </w:p>
        </w:tc>
        <w:tc>
          <w:tcPr>
            <w:tcW w:type="dxa" w:w="3450"/>
            <w:shd w:fill="2E235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type="dxa" w:w="1150"/>
            <w:shd w:fill="2E235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Weeks</w:t>
            </w:r>
          </w:p>
        </w:tc>
        <w:tc>
          <w:tcPr>
            <w:tcW w:type="dxa" w:w="1000"/>
            <w:shd w:fill="2E235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2E235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1150"/>
            <w:shd w:fill="2E235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0</w:t>
            </w:r>
          </w:p>
        </w:tc>
        <w:tc>
          <w:tcPr>
            <w:tcW w:type="dxa" w:w="34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Setup, planning, dev container, repo, tooling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1–2</w:t>
            </w:r>
          </w:p>
        </w:tc>
        <w:tc>
          <w:tcPr>
            <w:tcW w:type="dxa" w:w="10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~40 h</w:t>
            </w:r>
          </w:p>
        </w:tc>
        <w:tc>
          <w:tcPr>
            <w:tcW w:type="dxa" w:w="24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Working environment + plan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5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1</w:t>
            </w:r>
          </w:p>
        </w:tc>
        <w:tc>
          <w:tcPr>
            <w:tcW w:type="dxa" w:w="34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Literature review &amp; protocol/taxonomy design</w:t>
            </w:r>
          </w:p>
        </w:tc>
        <w:tc>
          <w:tcPr>
            <w:tcW w:type="dxa" w:w="11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1–4</w:t>
            </w:r>
          </w:p>
        </w:tc>
        <w:tc>
          <w:tcPr>
            <w:tcW w:type="dxa" w:w="10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~70 h</w:t>
            </w:r>
          </w:p>
        </w:tc>
        <w:tc>
          <w:tcPr>
            <w:tcW w:type="dxa" w:w="24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Related-work draft; approved protocol</w:t>
            </w:r>
          </w:p>
        </w:tc>
        <w:tc>
          <w:tcPr>
            <w:tcW w:type="dxa" w:w="11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WP0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2</w:t>
            </w:r>
          </w:p>
        </w:tc>
        <w:tc>
          <w:tcPr>
            <w:tcW w:type="dxa" w:w="34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Multi-venue data collection &amp; labelling (κ check)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3–9</w:t>
            </w:r>
          </w:p>
        </w:tc>
        <w:tc>
          <w:tcPr>
            <w:tcW w:type="dxa" w:w="10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~150 h</w:t>
            </w:r>
          </w:p>
        </w:tc>
        <w:tc>
          <w:tcPr>
            <w:tcW w:type="dxa" w:w="24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Balanced, split-ready dataset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WP1</w:t>
            </w:r>
          </w:p>
        </w:tc>
      </w:tr>
      <w:tr>
        <w:tc>
          <w:tcPr>
            <w:tcW w:type="dxa" w:w="5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3</w:t>
            </w:r>
          </w:p>
        </w:tc>
        <w:tc>
          <w:tcPr>
            <w:tcW w:type="dxa" w:w="34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Preprocessing pipeline + ablations</w:t>
            </w:r>
          </w:p>
        </w:tc>
        <w:tc>
          <w:tcPr>
            <w:tcW w:type="dxa" w:w="11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6–10</w:t>
            </w:r>
          </w:p>
        </w:tc>
        <w:tc>
          <w:tcPr>
            <w:tcW w:type="dxa" w:w="10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~80 h</w:t>
            </w:r>
          </w:p>
        </w:tc>
        <w:tc>
          <w:tcPr>
            <w:tcW w:type="dxa" w:w="24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Reproducible preprocessing + ROI masks</w:t>
            </w:r>
          </w:p>
        </w:tc>
        <w:tc>
          <w:tcPr>
            <w:tcW w:type="dxa" w:w="11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WP2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4</w:t>
            </w:r>
          </w:p>
        </w:tc>
        <w:tc>
          <w:tcPr>
            <w:tcW w:type="dxa" w:w="34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Leakage-free four-model benchmark + stats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9–13</w:t>
            </w:r>
          </w:p>
        </w:tc>
        <w:tc>
          <w:tcPr>
            <w:tcW w:type="dxa" w:w="10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~110 h</w:t>
            </w:r>
          </w:p>
        </w:tc>
        <w:tc>
          <w:tcPr>
            <w:tcW w:type="dxa" w:w="24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Benchmark with CIs &amp; significance tests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WP2,3</w:t>
            </w:r>
          </w:p>
        </w:tc>
      </w:tr>
      <w:tr>
        <w:tc>
          <w:tcPr>
            <w:tcW w:type="dxa" w:w="5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5</w:t>
            </w:r>
          </w:p>
        </w:tc>
        <w:tc>
          <w:tcPr>
            <w:tcW w:type="dxa" w:w="34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Novel architectures: STAN, fusion, context</w:t>
            </w:r>
          </w:p>
        </w:tc>
        <w:tc>
          <w:tcPr>
            <w:tcW w:type="dxa" w:w="11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12–18</w:t>
            </w:r>
          </w:p>
        </w:tc>
        <w:tc>
          <w:tcPr>
            <w:tcW w:type="dxa" w:w="10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~150 h</w:t>
            </w:r>
          </w:p>
        </w:tc>
        <w:tc>
          <w:tcPr>
            <w:tcW w:type="dxa" w:w="24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Ablated novel modules + results</w:t>
            </w:r>
          </w:p>
        </w:tc>
        <w:tc>
          <w:tcPr>
            <w:tcW w:type="dxa" w:w="11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WP4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6</w:t>
            </w:r>
          </w:p>
        </w:tc>
        <w:tc>
          <w:tcPr>
            <w:tcW w:type="dxa" w:w="34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System integration + reconciliation + dashboard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14–19</w:t>
            </w:r>
          </w:p>
        </w:tc>
        <w:tc>
          <w:tcPr>
            <w:tcW w:type="dxa" w:w="10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~120 h</w:t>
            </w:r>
          </w:p>
        </w:tc>
        <w:tc>
          <w:tcPr>
            <w:tcW w:type="dxa" w:w="24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End-to-end system on mock feeds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WP4</w:t>
            </w:r>
          </w:p>
        </w:tc>
      </w:tr>
      <w:tr>
        <w:tc>
          <w:tcPr>
            <w:tcW w:type="dxa" w:w="5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7</w:t>
            </w:r>
          </w:p>
        </w:tc>
        <w:tc>
          <w:tcPr>
            <w:tcW w:type="dxa" w:w="34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Deployment on Mini-PC + 48-h live validation</w:t>
            </w:r>
          </w:p>
        </w:tc>
        <w:tc>
          <w:tcPr>
            <w:tcW w:type="dxa" w:w="11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18–21</w:t>
            </w:r>
          </w:p>
        </w:tc>
        <w:tc>
          <w:tcPr>
            <w:tcW w:type="dxa" w:w="10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~70 h</w:t>
            </w:r>
          </w:p>
        </w:tc>
        <w:tc>
          <w:tcPr>
            <w:tcW w:type="dxa" w:w="24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Accepted live run</w:t>
            </w:r>
          </w:p>
        </w:tc>
        <w:tc>
          <w:tcPr>
            <w:tcW w:type="dxa" w:w="11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WP6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8</w:t>
            </w:r>
          </w:p>
        </w:tc>
        <w:tc>
          <w:tcPr>
            <w:tcW w:type="dxa" w:w="34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Writing, figures, revision, defence prep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ongoing→24</w:t>
            </w:r>
          </w:p>
        </w:tc>
        <w:tc>
          <w:tcPr>
            <w:tcW w:type="dxa" w:w="10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~140 h</w:t>
            </w:r>
          </w:p>
        </w:tc>
        <w:tc>
          <w:tcPr>
            <w:tcW w:type="dxa" w:w="24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Submitted thesis + slides</w:t>
            </w:r>
          </w:p>
        </w:tc>
        <w:tc>
          <w:tcPr>
            <w:tcW w:type="dxa" w:w="11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8A4FBE"/>
          <w:sz w:val="22"/>
          <w:szCs w:val="22"/>
        </w:rPr>
        <w:t xml:space="preserve">Milestone Gates</w:t>
      </w:r>
    </w:p>
    <w:tbl>
      <w:tblPr>
        <w:tblW w:type="dxa" w:w="9650"/>
        <w:tblBorders>
          <w:top w:val="single" w:color="C9BFDD" w:sz="4"/>
          <w:left w:val="single" w:color="C9BFDD" w:sz="4"/>
          <w:bottom w:val="single" w:color="C9BFDD" w:sz="4"/>
          <w:right w:val="single" w:color="C9BFDD" w:sz="4"/>
          <w:insideH w:val="single" w:color="C9BFDD" w:sz="4"/>
          <w:insideV w:val="single" w:color="C9BFDD" w:sz="4"/>
        </w:tblBorders>
      </w:tblPr>
      <w:tblGrid>
        <w:gridCol w:w="1500"/>
        <w:gridCol w:w="1400"/>
        <w:gridCol w:w="6750"/>
      </w:tblGrid>
      <w:tr>
        <w:trPr>
          <w:tblHeader/>
        </w:trPr>
        <w:tc>
          <w:tcPr>
            <w:tcW w:type="dxa" w:w="1500"/>
            <w:shd w:fill="2E235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Milestone</w:t>
            </w:r>
          </w:p>
        </w:tc>
        <w:tc>
          <w:tcPr>
            <w:tcW w:type="dxa" w:w="1400"/>
            <w:shd w:fill="2E235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By week</w:t>
            </w:r>
          </w:p>
        </w:tc>
        <w:tc>
          <w:tcPr>
            <w:tcW w:type="dxa" w:w="6750"/>
            <w:shd w:fill="2E235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Exit criterion (gate)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B2430"/>
                <w:sz w:val="15"/>
                <w:szCs w:val="15"/>
              </w:rPr>
              <w:t xml:space="preserve">M1</w:t>
            </w:r>
          </w:p>
        </w:tc>
        <w:tc>
          <w:tcPr>
            <w:tcW w:type="dxa" w:w="14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4</w:t>
            </w:r>
          </w:p>
        </w:tc>
        <w:tc>
          <w:tcPr>
            <w:tcW w:type="dxa" w:w="67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Protocol, taxonomy &amp; evaluation design approved by supervisor</w:t>
            </w:r>
          </w:p>
        </w:tc>
      </w:tr>
      <w:tr>
        <w:tc>
          <w:tcPr>
            <w:tcW w:type="dxa" w:w="15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B2430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9</w:t>
            </w:r>
          </w:p>
        </w:tc>
        <w:tc>
          <w:tcPr>
            <w:tcW w:type="dxa" w:w="67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Dataset balanced across classes/conditions and split-ready (grouped)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B2430"/>
                <w:sz w:val="15"/>
                <w:szCs w:val="15"/>
              </w:rPr>
              <w:t xml:space="preserve">M3</w:t>
            </w:r>
          </w:p>
        </w:tc>
        <w:tc>
          <w:tcPr>
            <w:tcW w:type="dxa" w:w="14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13</w:t>
            </w:r>
          </w:p>
        </w:tc>
        <w:tc>
          <w:tcPr>
            <w:tcW w:type="dxa" w:w="67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Four-model benchmark complete with CIs and significance tests</w:t>
            </w:r>
          </w:p>
        </w:tc>
      </w:tr>
      <w:tr>
        <w:tc>
          <w:tcPr>
            <w:tcW w:type="dxa" w:w="15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B2430"/>
                <w:sz w:val="15"/>
                <w:szCs w:val="15"/>
              </w:rPr>
              <w:t xml:space="preserve">M4</w:t>
            </w:r>
          </w:p>
        </w:tc>
        <w:tc>
          <w:tcPr>
            <w:tcW w:type="dxa" w:w="14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18</w:t>
            </w:r>
          </w:p>
        </w:tc>
        <w:tc>
          <w:tcPr>
            <w:tcW w:type="dxa" w:w="67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At least STAN + one fusion module ablated with significant results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B2430"/>
                <w:sz w:val="15"/>
                <w:szCs w:val="15"/>
              </w:rPr>
              <w:t xml:space="preserve">M5</w:t>
            </w:r>
          </w:p>
        </w:tc>
        <w:tc>
          <w:tcPr>
            <w:tcW w:type="dxa" w:w="14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19</w:t>
            </w:r>
          </w:p>
        </w:tc>
        <w:tc>
          <w:tcPr>
            <w:tcW w:type="dxa" w:w="67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Full pipeline + reconciliation runs end-to-end on mock feeds</w:t>
            </w:r>
          </w:p>
        </w:tc>
      </w:tr>
      <w:tr>
        <w:tc>
          <w:tcPr>
            <w:tcW w:type="dxa" w:w="15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B2430"/>
                <w:sz w:val="15"/>
                <w:szCs w:val="15"/>
              </w:rPr>
              <w:t xml:space="preserve">M6</w:t>
            </w:r>
          </w:p>
        </w:tc>
        <w:tc>
          <w:tcPr>
            <w:tcW w:type="dxa" w:w="140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21</w:t>
            </w:r>
          </w:p>
        </w:tc>
        <w:tc>
          <w:tcPr>
            <w:tcW w:type="dxa" w:w="6750"/>
            <w:shd w:fill="F6F3FA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48-hour live validation on the Mini-PC accepted with staff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B2430"/>
                <w:sz w:val="15"/>
                <w:szCs w:val="15"/>
              </w:rPr>
              <w:t xml:space="preserve">M7</w:t>
            </w:r>
          </w:p>
        </w:tc>
        <w:tc>
          <w:tcPr>
            <w:tcW w:type="dxa" w:w="140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24</w:t>
            </w:r>
          </w:p>
        </w:tc>
        <w:tc>
          <w:tcPr>
            <w:tcW w:type="dxa" w:w="6750"/>
            <w:shd w:fill="FFFFFF" w:color="auto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1B2430"/>
                <w:sz w:val="15"/>
                <w:szCs w:val="15"/>
              </w:rPr>
              <w:t xml:space="preserve">Thesis submitted; defence deck prepared</w:t>
            </w:r>
          </w:p>
        </w:tc>
      </w:tr>
    </w:tbl>
    <w:p>
      <w:pPr>
        <w:spacing w:after="60"/>
      </w:pP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8A4FBE"/>
          <w:sz w:val="22"/>
          <w:szCs w:val="22"/>
        </w:rPr>
        <w:t xml:space="preserve">Schedule at a Glance (each column = 2 weeks; bar = active)</w:t>
      </w:r>
    </w:p>
    <w:tbl>
      <w:tblPr>
        <w:tblW w:type="dxa" w:w="94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2760"/>
            <w:shd w:fill="2E2350" w:color="auto" w:val="clear"/>
            <w:tcMar>
              <w:top w:type="dxa" w:w="30"/>
              <w:left w:type="dxa" w:w="60"/>
              <w:bottom w:type="dxa" w:w="3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Work package  (weeks →)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2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4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6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8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10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12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14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16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18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20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22</w:t>
            </w:r>
          </w:p>
        </w:tc>
        <w:tc>
          <w:tcPr>
            <w:tcW w:type="dxa" w:w="560"/>
            <w:shd w:fill="2E2350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24</w:t>
            </w:r>
          </w:p>
        </w:tc>
      </w:tr>
      <w:tr>
        <w:tc>
          <w:tcPr>
            <w:tcW w:type="dxa" w:w="276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B2430"/>
                <w:sz w:val="14"/>
                <w:szCs w:val="14"/>
              </w:rPr>
              <w:t xml:space="preserve">WP0 Setup &amp; planning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B2430"/>
                <w:sz w:val="14"/>
                <w:szCs w:val="14"/>
              </w:rPr>
              <w:t xml:space="preserve">WP1 Literature &amp; protocol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B2430"/>
                <w:sz w:val="14"/>
                <w:szCs w:val="14"/>
              </w:rPr>
              <w:t xml:space="preserve">WP2 Data collection &amp; labelling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B2430"/>
                <w:sz w:val="14"/>
                <w:szCs w:val="14"/>
              </w:rPr>
              <w:t xml:space="preserve">WP3 Preprocessing + ablations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B2430"/>
                <w:sz w:val="14"/>
                <w:szCs w:val="14"/>
              </w:rPr>
              <w:t xml:space="preserve">WP4 Benchmark + statistics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B2430"/>
                <w:sz w:val="14"/>
                <w:szCs w:val="14"/>
              </w:rPr>
              <w:t xml:space="preserve">WP5 Novel architectures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B2430"/>
                <w:sz w:val="14"/>
                <w:szCs w:val="14"/>
              </w:rPr>
              <w:t xml:space="preserve">WP6 Integration + reconciliation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B2430"/>
                <w:sz w:val="14"/>
                <w:szCs w:val="14"/>
              </w:rPr>
              <w:t xml:space="preserve">WP7 Deployment + live run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E6F4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B2430"/>
                <w:sz w:val="14"/>
                <w:szCs w:val="14"/>
              </w:rPr>
              <w:t xml:space="preserve">WP8 Writing &amp; revision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8A4FBE" w:color="auto" w:val="clear"/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8A4FBE"/>
          <w:sz w:val="22"/>
          <w:szCs w:val="22"/>
        </w:rPr>
        <w:t xml:space="preserve">Effort Summary, Buffer &amp; Compression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Georgia" w:cs="Georgia" w:eastAsia="Georgia" w:hAnsi="Georgia"/>
          <w:b/>
          <w:bCs/>
          <w:color w:val="1B2430"/>
          <w:sz w:val="18"/>
          <w:szCs w:val="18"/>
        </w:rPr>
        <w:t xml:space="preserve">Total effort: </w:t>
      </w:r>
      <w:r>
        <w:rPr>
          <w:rFonts w:ascii="Georgia" w:cs="Georgia" w:eastAsia="Georgia" w:hAnsi="Georgia"/>
          <w:color w:val="1B2430"/>
          <w:sz w:val="18"/>
          <w:szCs w:val="18"/>
        </w:rPr>
        <w:t xml:space="preserve">~840 hours over 24 weeks. The two heaviest packages are data (WP2) and novel architectures (WP5) — protect these first.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Georgia" w:cs="Georgia" w:eastAsia="Georgia" w:hAnsi="Georgia"/>
          <w:b/>
          <w:bCs/>
          <w:color w:val="1B2430"/>
          <w:sz w:val="18"/>
          <w:szCs w:val="18"/>
        </w:rPr>
        <w:t xml:space="preserve">Built-in buffer: </w:t>
      </w:r>
      <w:r>
        <w:rPr>
          <w:rFonts w:ascii="Georgia" w:cs="Georgia" w:eastAsia="Georgia" w:hAnsi="Georgia"/>
          <w:color w:val="1B2430"/>
          <w:sz w:val="18"/>
          <w:szCs w:val="18"/>
        </w:rPr>
        <w:t xml:space="preserve">weeks 22–24 hold ~2 weeks of slack for slippage, re-runs, and revision; do not fill them with new scope.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Georgia" w:cs="Georgia" w:eastAsia="Georgia" w:hAnsi="Georgia"/>
          <w:b/>
          <w:bCs/>
          <w:color w:val="1B2430"/>
          <w:sz w:val="18"/>
          <w:szCs w:val="18"/>
        </w:rPr>
        <w:t xml:space="preserve">Critical path: </w:t>
      </w:r>
      <w:r>
        <w:rPr>
          <w:rFonts w:ascii="Georgia" w:cs="Georgia" w:eastAsia="Georgia" w:hAnsi="Georgia"/>
          <w:color w:val="1B2430"/>
          <w:sz w:val="18"/>
          <w:szCs w:val="18"/>
        </w:rPr>
        <w:t xml:space="preserve">WP2 → WP4 → WP5 → WP6 → WP7. Any delay in data collection cascades, so start WP2 as early as possible and in parallel with the literature review.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Georgia" w:cs="Georgia" w:eastAsia="Georgia" w:hAnsi="Georgia"/>
          <w:b/>
          <w:bCs/>
          <w:color w:val="1B2430"/>
          <w:sz w:val="18"/>
          <w:szCs w:val="18"/>
        </w:rPr>
        <w:t xml:space="preserve">16-week compression option: </w:t>
      </w:r>
      <w:r>
        <w:rPr>
          <w:rFonts w:ascii="Georgia" w:cs="Georgia" w:eastAsia="Georgia" w:hAnsi="Georgia"/>
          <w:color w:val="1B2430"/>
          <w:sz w:val="18"/>
          <w:szCs w:val="18"/>
        </w:rPr>
        <w:t xml:space="preserve">keep WP0–WP4 and the STAN novelty only; drop fusion/context to the extensions list; shorten data collection to 2–3 venues; run the live validation for 24 h instead of 48 h. This still yields a complete, defensible thesis.</w:t>
      </w:r>
    </w:p>
    <w:p>
      <w:pPr>
        <w:spacing w:after="60"/>
      </w:pP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8A4FBE"/>
          <w:sz w:val="22"/>
          <w:szCs w:val="22"/>
        </w:rPr>
        <w:t xml:space="preserve">Weekly Working Cadence (recommended)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Georgia" w:cs="Georgia" w:eastAsia="Georgia" w:hAnsi="Georgia"/>
          <w:color w:val="1B2430"/>
          <w:sz w:val="18"/>
          <w:szCs w:val="18"/>
        </w:rPr>
        <w:t xml:space="preserve">One fixed supervisor check-in per fortnight, aligned to the nearest milestone.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Georgia" w:cs="Georgia" w:eastAsia="Georgia" w:hAnsi="Georgia"/>
          <w:color w:val="1B2430"/>
          <w:sz w:val="18"/>
          <w:szCs w:val="18"/>
        </w:rPr>
        <w:t xml:space="preserve">Keep a running lab notebook: every experiment logged with seed, data version, and result — this is what makes the thesis reproducible and defensible.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Georgia" w:cs="Georgia" w:eastAsia="Georgia" w:hAnsi="Georgia"/>
          <w:color w:val="1B2430"/>
          <w:sz w:val="18"/>
          <w:szCs w:val="18"/>
        </w:rPr>
        <w:t xml:space="preserve">Write continuously: draft each chapter as its work package closes, so WP8 is revision, not first-draft panic.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Georgia" w:cs="Georgia" w:eastAsia="Georgia" w:hAnsi="Georgia"/>
          <w:b/>
          <w:bCs/>
          <w:color w:val="1B2430"/>
          <w:sz w:val="18"/>
          <w:szCs w:val="18"/>
        </w:rPr>
        <w:t xml:space="preserve">Weekly rhythm: </w:t>
      </w:r>
      <w:r>
        <w:rPr>
          <w:rFonts w:ascii="Georgia" w:cs="Georgia" w:eastAsia="Georgia" w:hAnsi="Georgia"/>
          <w:color w:val="1B2430"/>
          <w:sz w:val="18"/>
          <w:szCs w:val="18"/>
        </w:rPr>
        <w:t xml:space="preserve">~60% build/experiment, ~25% writing, ~15% reading and analysis.</w:t>
      </w:r>
    </w:p>
    <w:sectPr>
      <w:footerReference w:type="default" r:id="rId7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DD" w:sz="4" w:space="4"/>
      </w:pBdr>
      <w:jc w:val="center"/>
    </w:pPr>
    <w:r>
      <w:rPr>
        <w:rFonts w:ascii="Calibri" w:cs="Calibri" w:eastAsia="Calibri" w:hAnsi="Calibri"/>
        <w:color w:val="8A82A0"/>
        <w:sz w:val="14"/>
        <w:szCs w:val="14"/>
      </w:rPr>
      <w:t xml:space="preserve">Thesis Schedule &amp; Effort Plan · Page </w:t>
    </w:r>
    <w:r>
      <w:rPr>
        <w:rFonts w:ascii="Calibri" w:cs="Calibri" w:eastAsia="Calibri" w:hAnsi="Calibri"/>
        <w:color w:val="8A82A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243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5B3E8E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8A4FB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Schedule &amp; Effort Plan</dc:title>
  <dc:creator>Thesis Plan Generator</dc:creator>
  <cp:lastModifiedBy>Un-named</cp:lastModifiedBy>
  <cp:revision>1</cp:revision>
  <dcterms:created xsi:type="dcterms:W3CDTF">2026-09-05T20:57:34.369Z</dcterms:created>
  <dcterms:modified xsi:type="dcterms:W3CDTF">2026-09-05T20:57:34.369Z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