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4"/>
          <w:szCs w:val="34"/>
        </w:rPr>
        <w:t xml:space="preserve">Literature Review — Revised</w:t>
      </w:r>
    </w:p>
    <w:p>
      <w:pPr>
        <w:spacing w:after="40"/>
        <w:jc w:val="center"/>
      </w:pPr>
      <w:r>
        <w:rPr>
          <w:rFonts w:ascii="Times New Roman" w:cs="Times New Roman" w:eastAsia="Times New Roman" w:hAnsi="Times New Roman"/>
          <w:sz w:val="24"/>
          <w:szCs w:val="24"/>
        </w:rPr>
        <w:t xml:space="preserve">Low-Bandwidth, CPU-Only Computer Vision for Football-Facility Occupancy and Booking Verification</w:t>
      </w:r>
    </w:p>
    <w:p>
      <w:pPr>
        <w:spacing w:after="340"/>
        <w:jc w:val="center"/>
      </w:pPr>
      <w:r>
        <w:rPr>
          <w:rFonts w:ascii="Times New Roman" w:cs="Times New Roman" w:eastAsia="Times New Roman" w:hAnsi="Times New Roman"/>
          <w:i/>
          <w:iCs/>
          <w:sz w:val="20"/>
          <w:szCs w:val="20"/>
        </w:rPr>
        <w:t xml:space="preserve">Reviewer’s assessment, revised Chapter 2, and revision appendices</w:t>
      </w:r>
    </w:p>
    <w:p>
      <w:pPr>
        <w:pStyle w:val="Heading1"/>
        <w:spacing w:after="140" w:before="280"/>
      </w:pPr>
      <w:r>
        <w:rPr>
          <w:rFonts w:ascii="Times New Roman" w:cs="Times New Roman" w:eastAsia="Times New Roman" w:hAnsi="Times New Roman"/>
          <w:b/>
          <w:bCs/>
          <w:sz w:val="30"/>
          <w:szCs w:val="30"/>
        </w:rPr>
        <w:t xml:space="preserve">Reviewer’s Assessment of the Submitted Draft</w:t>
      </w:r>
    </w:p>
    <w:p>
      <w:pPr>
        <w:spacing w:after="160" w:line="300"/>
        <w:jc w:val="both"/>
      </w:pPr>
      <w:r>
        <w:rPr>
          <w:rFonts w:ascii="Times New Roman" w:cs="Times New Roman" w:eastAsia="Times New Roman" w:hAnsi="Times New Roman"/>
          <w:sz w:val="22"/>
          <w:szCs w:val="22"/>
        </w:rPr>
        <w:t xml:space="preserve">This note records what was wrong with the draft literature review and what was changed. The revised chapter follows it. Read this part first; it explains why roughly a third of the original reference list does not appear in the revised text.</w:t>
      </w:r>
    </w:p>
    <w:p>
      <w:pPr>
        <w:pStyle w:val="Heading2"/>
        <w:spacing w:after="140" w:before="280"/>
      </w:pPr>
      <w:r>
        <w:rPr>
          <w:rFonts w:ascii="Times New Roman" w:cs="Times New Roman" w:eastAsia="Times New Roman" w:hAnsi="Times New Roman"/>
          <w:b/>
          <w:bCs/>
          <w:sz w:val="25"/>
          <w:szCs w:val="25"/>
        </w:rPr>
        <w:t xml:space="preserve">Verdict</w:t>
      </w:r>
    </w:p>
    <w:p>
      <w:pPr>
        <w:spacing w:after="160" w:line="300"/>
        <w:jc w:val="both"/>
      </w:pPr>
      <w:r>
        <w:rPr>
          <w:rFonts w:ascii="Times New Roman" w:cs="Times New Roman" w:eastAsia="Times New Roman" w:hAnsi="Times New Roman"/>
          <w:sz w:val="22"/>
          <w:szCs w:val="22"/>
        </w:rPr>
        <w:t xml:space="preserve">The draft has a workable thematic structure and a genuinely useful core of occupancy-sensing, privacy and edge-deployment references. It is not yet a defensible literature review, for one dominant reason: a large share of its citations do not support the claims attached to them, and almost every foundational paper the thesis depends on is missing. The prose was also about 2,400 words against a 7,500-8,500 word target, with no per-theme synthesis and none of the three planned tables.</w:t>
      </w:r>
    </w:p>
    <w:p>
      <w:pPr>
        <w:pStyle w:val="Heading2"/>
        <w:spacing w:after="140" w:before="280"/>
      </w:pPr>
      <w:r>
        <w:rPr>
          <w:rFonts w:ascii="Times New Roman" w:cs="Times New Roman" w:eastAsia="Times New Roman" w:hAnsi="Times New Roman"/>
          <w:b/>
          <w:bCs/>
          <w:sz w:val="25"/>
          <w:szCs w:val="25"/>
        </w:rPr>
        <w:t xml:space="preserve">Findings, in order of severity</w:t>
      </w:r>
    </w:p>
    <w:p>
      <w:pPr>
        <w:spacing w:after="160" w:line="300"/>
        <w:jc w:val="both"/>
      </w:pPr>
      <w:r>
        <w:rPr>
          <w:rFonts w:ascii="Times New Roman" w:cs="Times New Roman" w:eastAsia="Times New Roman" w:hAnsi="Times New Roman"/>
          <w:sz w:val="22"/>
          <w:szCs w:val="22"/>
        </w:rPr>
        <w:t xml:space="preserve">1. Two terminology collisions put off-topic literature at the centre of key sections. In autonomous driving, "occupancy estimation" means predicting a 3D voxel occupancy grid around a vehicle. Three references used as evidence for venue occupancy monitoring are of that kind: LangOcc, SparseOccVLA and ReliOcc. Separately, "shortcut learning" in the draft’s Section 5 is supported by a single citation, SLAP: Shortcut Learning for Abstract Planning, which concerns macro-action shortcuts in symbolic task planning and has no connection to spurious correlation in classifiers. Section 5 therefore had no valid citation at all.</w:t>
      </w:r>
    </w:p>
    <w:p>
      <w:pPr>
        <w:spacing w:after="160" w:line="300"/>
        <w:jc w:val="both"/>
      </w:pPr>
      <w:r>
        <w:rPr>
          <w:rFonts w:ascii="Times New Roman" w:cs="Times New Roman" w:eastAsia="Times New Roman" w:hAnsi="Times New Roman"/>
          <w:sz w:val="22"/>
          <w:szCs w:val="22"/>
        </w:rPr>
        <w:t xml:space="preserve">2. Every foundational paper for the candidate model pool was absent. There was no citation of CLIP, ViT, DINO, DINOv2, DINOv3, MAE, ConvNeXt, ConvNeXtV2, EfficientNet, MobileNetV3, OpenCLIP or LAION, YOLO-World, Grounding DINO or RT-DETR. CLIP was cited through three downstream robot-navigation papers; EfficientNet through a sports-field homography paper; MobileNetV3 through a distillation paper that merely uses it. A reader cannot follow a review that discusses a model family without pointing to where it was introduced.</w:t>
      </w:r>
    </w:p>
    <w:p>
      <w:pPr>
        <w:spacing w:after="160" w:line="300"/>
        <w:jc w:val="both"/>
      </w:pPr>
      <w:r>
        <w:rPr>
          <w:rFonts w:ascii="Times New Roman" w:cs="Times New Roman" w:eastAsia="Times New Roman" w:hAnsi="Times New Roman"/>
          <w:sz w:val="22"/>
          <w:szCs w:val="22"/>
        </w:rPr>
        <w:t xml:space="preserve">3. The evaluation section, which is the most important one for this thesis, cited almost nothing. Near-duplicate contamination, effective sample size and degenerate test folds were asserted as pitfalls with no supporting reference at all. There was no calibration literature, no selective-prediction literature, no statistical-testing literature, and no leakage literature.</w:t>
      </w:r>
    </w:p>
    <w:p>
      <w:pPr>
        <w:spacing w:after="160" w:line="300"/>
        <w:jc w:val="both"/>
      </w:pPr>
      <w:r>
        <w:rPr>
          <w:rFonts w:ascii="Times New Roman" w:cs="Times New Roman" w:eastAsia="Times New Roman" w:hAnsi="Times New Roman"/>
          <w:sz w:val="22"/>
          <w:szCs w:val="22"/>
        </w:rPr>
        <w:t xml:space="preserve">4. Excluded player-tracking work was used as supporting evidence rather than as scope demarcation. Player tracking with SAM appeared in the edge-efficiency section; YOLO-based match analysis and player-and-ball detection appeared as evidence for occupancy counting. Citing this literature to mark the boundary of the thesis is correct and has been kept; citing it as support is not, and has been removed.</w:t>
      </w:r>
    </w:p>
    <w:p>
      <w:pPr>
        <w:spacing w:after="160" w:line="300"/>
        <w:jc w:val="both"/>
      </w:pPr>
      <w:r>
        <w:rPr>
          <w:rFonts w:ascii="Times New Roman" w:cs="Times New Roman" w:eastAsia="Times New Roman" w:hAnsi="Times New Roman"/>
          <w:sz w:val="22"/>
          <w:szCs w:val="22"/>
        </w:rPr>
        <w:t xml:space="preserve">5. One substantive claim contradicts the project’s own pilot without acknowledging it. The draft states that ViT-L/14 "consistently outperforms" ViT-B/32 across benchmarks. The pilot bake-off found the opposite on this task, and the literature on narrow-domain zero-shot transfer is more equivocal than the draft implies. The revised text states the general trend and the counter-evidence together, which is what the discussion chapter will need.</w:t>
      </w:r>
    </w:p>
    <w:p>
      <w:pPr>
        <w:spacing w:after="160" w:line="300"/>
        <w:jc w:val="both"/>
      </w:pPr>
      <w:r>
        <w:rPr>
          <w:rFonts w:ascii="Times New Roman" w:cs="Times New Roman" w:eastAsia="Times New Roman" w:hAnsi="Times New Roman"/>
          <w:sz w:val="22"/>
          <w:szCs w:val="22"/>
        </w:rPr>
        <w:t xml:space="preserve">6. Structural mismatch. Executive summary, table of contents and a "Conclusion" are report conventions. A thesis background chapter opens with scope, closes with a synthesis and research gap, and gives each theme its own closing synthesis paragraph. The revised chapter follows that form.</w:t>
      </w:r>
    </w:p>
    <w:p>
      <w:pPr>
        <w:pStyle w:val="Heading2"/>
        <w:spacing w:after="140" w:before="280"/>
      </w:pPr>
      <w:r>
        <w:rPr>
          <w:rFonts w:ascii="Times New Roman" w:cs="Times New Roman" w:eastAsia="Times New Roman" w:hAnsi="Times New Roman"/>
          <w:b/>
          <w:bCs/>
          <w:sz w:val="25"/>
          <w:szCs w:val="25"/>
        </w:rPr>
        <w:t xml:space="preserve">What was changed</w:t>
      </w:r>
    </w:p>
    <w:p>
      <w:pPr>
        <w:pStyle w:val="ListParagraph"/>
        <w:numPr>
          <w:ilvl w:val="0"/>
          <w:numId w:val="2"/>
        </w:numPr>
        <w:spacing w:after="90" w:line="280"/>
      </w:pPr>
      <w:r>
        <w:rPr>
          <w:rFonts w:ascii="Times New Roman" w:cs="Times New Roman" w:eastAsia="Times New Roman" w:hAnsi="Times New Roman"/>
          <w:sz w:val="22"/>
          <w:szCs w:val="22"/>
        </w:rPr>
        <w:t xml:space="preserve">Twenty-six references were removed as off-domain, mis-attributed or excluded-scope. Appendix A lists each with its reason.</w:t>
      </w:r>
    </w:p>
    <w:p>
      <w:pPr>
        <w:pStyle w:val="ListParagraph"/>
        <w:numPr>
          <w:ilvl w:val="0"/>
          <w:numId w:val="2"/>
        </w:numPr>
        <w:spacing w:after="90" w:line="280"/>
      </w:pPr>
      <w:r>
        <w:rPr>
          <w:rFonts w:ascii="Times New Roman" w:cs="Times New Roman" w:eastAsia="Times New Roman" w:hAnsi="Times New Roman"/>
          <w:sz w:val="22"/>
          <w:szCs w:val="22"/>
        </w:rPr>
        <w:t xml:space="preserve">Forty-six foundational and methodological references were added. These are marked with a dagger in the reference list and in Appendix B; they are supplied from domain knowledge rather than from a database search, so titles, venues and years are reliable but the exact identifiers must be confirmed before submission.</w:t>
      </w:r>
    </w:p>
    <w:p>
      <w:pPr>
        <w:pStyle w:val="ListParagraph"/>
        <w:numPr>
          <w:ilvl w:val="0"/>
          <w:numId w:val="2"/>
        </w:numPr>
        <w:spacing w:after="90" w:line="280"/>
      </w:pPr>
      <w:r>
        <w:rPr>
          <w:rFonts w:ascii="Times New Roman" w:cs="Times New Roman" w:eastAsia="Times New Roman" w:hAnsi="Times New Roman"/>
          <w:sz w:val="22"/>
          <w:szCs w:val="22"/>
        </w:rPr>
        <w:t xml:space="preserve">Every section was rewritten around what its remaining citations actually support, with a closing synthesis paragraph naming the consensus, the disagreement and the open problem.</w:t>
      </w:r>
    </w:p>
    <w:p>
      <w:pPr>
        <w:pStyle w:val="ListParagraph"/>
        <w:numPr>
          <w:ilvl w:val="0"/>
          <w:numId w:val="2"/>
        </w:numPr>
        <w:spacing w:after="90" w:line="280"/>
      </w:pPr>
      <w:r>
        <w:rPr>
          <w:rFonts w:ascii="Times New Roman" w:cs="Times New Roman" w:eastAsia="Times New Roman" w:hAnsi="Times New Roman"/>
          <w:sz w:val="22"/>
          <w:szCs w:val="22"/>
        </w:rPr>
        <w:t xml:space="preserve">Three tables were added: model families compared, candidate architecture milestones, and evaluation pitfalls.</w:t>
      </w:r>
    </w:p>
    <w:p>
      <w:pPr>
        <w:pStyle w:val="ListParagraph"/>
        <w:numPr>
          <w:ilvl w:val="0"/>
          <w:numId w:val="2"/>
        </w:numPr>
        <w:spacing w:after="90" w:line="280"/>
      </w:pPr>
      <w:r>
        <w:rPr>
          <w:rFonts w:ascii="Times New Roman" w:cs="Times New Roman" w:eastAsia="Times New Roman" w:hAnsi="Times New Roman"/>
          <w:sz w:val="22"/>
          <w:szCs w:val="22"/>
        </w:rPr>
        <w:t xml:space="preserve">Sections where the literature genuinely is thin are now marked as such in the text rather than padded. There are five of these and they are an asset, not a defect: each one is a sentence the examiner can be pointed at.</w:t>
      </w:r>
    </w:p>
    <w:p>
      <w:pPr>
        <w:pStyle w:val="Heading2"/>
        <w:spacing w:after="140" w:before="280"/>
      </w:pPr>
      <w:r>
        <w:rPr>
          <w:rFonts w:ascii="Times New Roman" w:cs="Times New Roman" w:eastAsia="Times New Roman" w:hAnsi="Times New Roman"/>
          <w:b/>
          <w:bCs/>
          <w:sz w:val="25"/>
          <w:szCs w:val="25"/>
        </w:rPr>
        <w:t xml:space="preserve">What still has to be done</w:t>
      </w:r>
    </w:p>
    <w:p>
      <w:pPr>
        <w:spacing w:after="160" w:line="300"/>
        <w:jc w:val="both"/>
      </w:pPr>
      <w:r>
        <w:rPr>
          <w:rFonts w:ascii="Times New Roman" w:cs="Times New Roman" w:eastAsia="Times New Roman" w:hAnsi="Times New Roman"/>
          <w:sz w:val="22"/>
          <w:szCs w:val="22"/>
        </w:rPr>
        <w:t xml:space="preserve">The revised chapter runs to about 7,300 words of prose plus roughly 1,100 in tables, which is inside the 7,500 to 8,500 word target. Further growth should come from targeted searches on the five thin areas flagged in the text, not from expanding what is already there. Those areas are: the sufficiency of sparse temporal sampling for slow-changing occupancy states; learned versus properly tuned heuristic temporal aggregation; multi-camera throughput on a single CPU host; record-versus-observation auditing under scarce adjudicated ground truth; and norms for reporting pre-registered negative results in applied computer vision. Verify every dagger-marked identifier, and re-check the five 2026 preprints retained from the original list, whose citation records are still forming.</w:t>
      </w:r>
    </w:p>
    <w:p>
      <w:r>
        <w:br w:type="page"/>
      </w:r>
    </w:p>
    <w:p>
      <w:pPr>
        <w:pStyle w:val="Heading1"/>
        <w:spacing w:after="140" w:before="280"/>
      </w:pPr>
      <w:r>
        <w:rPr>
          <w:rFonts w:ascii="Times New Roman" w:cs="Times New Roman" w:eastAsia="Times New Roman" w:hAnsi="Times New Roman"/>
          <w:b/>
          <w:bCs/>
          <w:sz w:val="30"/>
          <w:szCs w:val="30"/>
        </w:rPr>
        <w:t xml:space="preserve">Chapter 2  Related Work</w:t>
      </w:r>
    </w:p>
    <w:p>
      <w:pPr>
        <w:pStyle w:val="Heading2"/>
        <w:spacing w:after="140" w:before="280"/>
      </w:pPr>
      <w:r>
        <w:rPr>
          <w:rFonts w:ascii="Times New Roman" w:cs="Times New Roman" w:eastAsia="Times New Roman" w:hAnsi="Times New Roman"/>
          <w:b/>
          <w:bCs/>
          <w:sz w:val="25"/>
          <w:szCs w:val="25"/>
        </w:rPr>
        <w:t xml:space="preserve">2.1  Scope and Exclusions</w:t>
      </w:r>
    </w:p>
    <w:p>
      <w:pPr>
        <w:spacing w:after="160" w:line="300"/>
        <w:jc w:val="both"/>
      </w:pPr>
      <w:r>
        <w:rPr>
          <w:rFonts w:ascii="Times New Roman" w:cs="Times New Roman" w:eastAsia="Times New Roman" w:hAnsi="Times New Roman"/>
          <w:sz w:val="22"/>
          <w:szCs w:val="22"/>
        </w:rPr>
        <w:t xml:space="preserve">This chapter surveys the work on which a low-bandwidth, CPU-only system for football-pitch occupancy and booking verification must build. The task is scene-level state classification from sparsely sampled fixed-camera frames: deciding whether a pitch is empty, in active sporting use, or occupied for maintenance or another non-sporting purpose, and then aggregating those per-frame decisions into a verdict on a rental slot that can be reconciled against a booking record.</w:t>
      </w:r>
    </w:p>
    <w:p>
      <w:pPr>
        <w:spacing w:after="160" w:line="300"/>
        <w:jc w:val="both"/>
      </w:pPr>
      <w:r>
        <w:rPr>
          <w:rFonts w:ascii="Times New Roman" w:cs="Times New Roman" w:eastAsia="Times New Roman" w:hAnsi="Times New Roman"/>
          <w:sz w:val="22"/>
          <w:szCs w:val="22"/>
        </w:rPr>
        <w:t xml:space="preserve">That framing places most of the football computer-vision literature outside the scope of this review. Surveys of the field [1] show it is dominated by broadcast-oriented analysis: player detection and tracking, re-identification, ball trajectory estimation, event and action spotting, and tactical analysis, as consolidated in the SoccerNet challenge series [2] and in tracking-data event detection [3]. Even validation studies of commercial player-tracking software [4] assume continuous broadcast-quality video and accelerator hardware. These systems answer who is where and what action is occurring; the present task answers only whether the facility is in use and for what purpose, from one frame per minute on a machine with no GPU. Work of that kind is cited in this chapter only to mark the boundary, never as evidence.</w:t>
      </w:r>
    </w:p>
    <w:p>
      <w:pPr>
        <w:spacing w:after="160" w:line="300"/>
        <w:jc w:val="both"/>
      </w:pPr>
      <w:r>
        <w:rPr>
          <w:rFonts w:ascii="Times New Roman" w:cs="Times New Roman" w:eastAsia="Times New Roman" w:hAnsi="Times New Roman"/>
          <w:sz w:val="22"/>
          <w:szCs w:val="22"/>
        </w:rPr>
        <w:t xml:space="preserve">The chapter is organised around the decisions the system has to make. Section 2.2 establishes what occupancy sensing can achieve and how camera-based methods compare with cheaper non-visual sensors. Sections 2.3 and 2.4 cover the two candidate model strategies, zero-shot vision-language classification and frozen-backbone probing. Section 2.5 covers the failure mode that dominates evaluation on small single-site datasets. Sections 2.6 to 2.9 cover the supporting components: detection, temporal aggregation and fusion, edge inference, and data and annotation. Sections 2.10 to 2.12 cover reconciliation, evaluation methodology and privacy. Section 2.13 states the research gap.</w:t>
      </w:r>
    </w:p>
    <w:p>
      <w:pPr>
        <w:pStyle w:val="Heading2"/>
        <w:spacing w:after="140" w:before="280"/>
      </w:pPr>
      <w:r>
        <w:rPr>
          <w:rFonts w:ascii="Times New Roman" w:cs="Times New Roman" w:eastAsia="Times New Roman" w:hAnsi="Times New Roman"/>
          <w:b/>
          <w:bCs/>
          <w:sz w:val="25"/>
          <w:szCs w:val="25"/>
        </w:rPr>
        <w:t xml:space="preserve">2.2  Occupancy Sensing from Fixed Cameras and Its Non-Visual Alternatives</w:t>
      </w:r>
    </w:p>
    <w:p>
      <w:pPr>
        <w:spacing w:after="160" w:line="300"/>
        <w:jc w:val="both"/>
      </w:pPr>
      <w:r>
        <w:rPr>
          <w:rFonts w:ascii="Times New Roman" w:cs="Times New Roman" w:eastAsia="Times New Roman" w:hAnsi="Times New Roman"/>
          <w:sz w:val="22"/>
          <w:szCs w:val="22"/>
        </w:rPr>
        <w:t xml:space="preserve">Occupancy sensing in the built environment is a mature field with an established taxonomy: presence detection, occupant counting, and activity or behaviour inference, in increasing order of difficulty and of sensing cost. Reviews of machine-learning approaches to occupancy prediction [5] find that the great majority of deployed systems target the first two levels, driven by demand-controlled ventilation and energy management rather than by auditing. Industrial surveys of smart-building occupancy counting [6] report the same emphasis and note that operators generally want an aggregate count, not a semantic description of what the occupants are doing. Multi-occupant detection in smart environments [7] extends this to simultaneous detection of several people using ambient sensing, again without distinguishing purpose of use.</w:t>
      </w:r>
    </w:p>
    <w:p>
      <w:pPr>
        <w:spacing w:after="160" w:line="300"/>
        <w:jc w:val="both"/>
      </w:pPr>
      <w:r>
        <w:rPr>
          <w:rFonts w:ascii="Times New Roman" w:cs="Times New Roman" w:eastAsia="Times New Roman" w:hAnsi="Times New Roman"/>
          <w:sz w:val="22"/>
          <w:szCs w:val="22"/>
        </w:rPr>
        <w:t xml:space="preserve">The non-visual alternatives are well characterised. Carbon-dioxide-based estimation coupled with deep learning has been used to drive ventilation control [8], with the well-known limitation that CO2 concentration lags occupancy by minutes and is meaningless outdoors. Wi-Fi-based crowd monitoring achieves useful aggregate counts while avoiding image capture entirely, and privacy-preserving variants have been built on k-anonymity [9] and on Bloom filters with homomorphic encryption [10]; a systems-level treatment of large-crowd Wi-Fi monitoring [11] and an indoor-positioning study of occupancy and user behaviour [12] both report that accuracy depends on device-carriage rates and on MAC randomisation, which have degraded steadily. Low-resolution thermal imaging [13] occupies an interesting middle position, preserving privacy by construction while retaining a spatial signal. For sports venues specifically, vibration sensing of audience response [14] and IoT crowd-flow monitoring [15] show that non-visual modalities can capture venue-level activity, though both target spectator crowds rather than pitch use.</w:t>
      </w:r>
    </w:p>
    <w:p>
      <w:pPr>
        <w:spacing w:after="160" w:line="300"/>
        <w:jc w:val="both"/>
      </w:pPr>
      <w:r>
        <w:rPr>
          <w:rFonts w:ascii="Times New Roman" w:cs="Times New Roman" w:eastAsia="Times New Roman" w:hAnsi="Times New Roman"/>
          <w:sz w:val="22"/>
          <w:szCs w:val="22"/>
        </w:rPr>
        <w:t xml:space="preserve">The decisive limitation of every non-visual modality for this application is semantic rather than metrological. A motion sensor, a Wi-Fi counter and a CO2 probe all answer the question "are people present"; none answers "are people playing football, or is a groundskeeper mowing the pitch". Since a booking-verification system must separate active sporting use from maintenance and other non-sporting occupancy in order to produce a defensible verdict, the extra semantic capacity of a camera is not a convenience but the reason the modality is chosen. Low-resolution thermal sensing [13] is the closest privacy-preserving compromise, but its spatial resolution places a ceiling on how finely activity can be characterised.</w:t>
      </w:r>
    </w:p>
    <w:p>
      <w:pPr>
        <w:spacing w:after="160" w:line="300"/>
        <w:jc w:val="both"/>
      </w:pPr>
      <w:r>
        <w:rPr>
          <w:rFonts w:ascii="Times New Roman" w:cs="Times New Roman" w:eastAsia="Times New Roman" w:hAnsi="Times New Roman"/>
          <w:sz w:val="22"/>
          <w:szCs w:val="22"/>
        </w:rPr>
        <w:t xml:space="preserve">On the vision side, the relevant precedent is occupancy work already constrained to modest hardware. A CPU-friendly OpenCV and ONNX pipeline for destination-based people counting [16] demonstrates that line-crossing analysis runs in real time without an accelerator. Fine-grained occupancy estimation using depth sensors on ARM embedded platforms [17] reports high accuracy within a strict real-time budget, and top-view person detection and counting for low-compute embedded platforms [18] establishes that overhead fixed-camera counting is tractable on very limited hardware. These works confirm feasibility, but all three assume continuous or near-continuous frame arrival.</w:t>
      </w:r>
    </w:p>
    <w:p>
      <w:pPr>
        <w:spacing w:after="160" w:line="300"/>
        <w:jc w:val="both"/>
      </w:pPr>
      <w:r>
        <w:rPr>
          <w:rFonts w:ascii="Times New Roman" w:cs="Times New Roman" w:eastAsia="Times New Roman" w:hAnsi="Times New Roman"/>
          <w:sz w:val="22"/>
          <w:szCs w:val="22"/>
        </w:rPr>
        <w:t xml:space="preserve">That assumption marks the first thin area in the literature. The published work on how far the sampling interval can be stretched before accuracy degrades, for states that change slowly, is sparse; occupancy studies overwhelmingly assume a continuous stream and report per-frame accuracy rather than accuracy of a decision aggregated over a long interval. The bandwidth and compute argument for one frame per minute is straightforward to make from first principles, but the literature does not appear to supply an empirical characterisation of the sampling-rate trade-off for slow-changing occupancy states.</w:t>
      </w:r>
    </w:p>
    <w:p>
      <w:pPr>
        <w:spacing w:after="200" w:line="300"/>
        <w:jc w:val="both"/>
      </w:pPr>
      <w:r>
        <w:rPr>
          <w:rFonts w:ascii="Times New Roman" w:cs="Times New Roman" w:eastAsia="Times New Roman" w:hAnsi="Times New Roman"/>
          <w:b/>
          <w:bCs/>
          <w:i/>
          <w:iCs/>
          <w:sz w:val="22"/>
          <w:szCs w:val="22"/>
        </w:rPr>
        <w:t xml:space="preserve">Synthesis. </w:t>
      </w:r>
      <w:r>
        <w:rPr>
          <w:rFonts w:ascii="Times New Roman" w:cs="Times New Roman" w:eastAsia="Times New Roman" w:hAnsi="Times New Roman"/>
          <w:sz w:val="22"/>
          <w:szCs w:val="22"/>
        </w:rPr>
        <w:t xml:space="preserve">There is broad agreement that occupancy presence and counting are solved to operationally useful accuracy by several modalities, and that non-visual sensors are cheaper and less privacy-invasive. There is no comparable body of work on distinguishing the purpose of occupancy, which is precisely what booking verification requires and what only a camera can currently deliver. The open problem for this thesis is the sampling regime: no published study establishes how sparse a fixed-camera sampling schedule can become while still supporting a reliable slot-level verdict.</w:t>
      </w:r>
    </w:p>
    <w:p>
      <w:pPr>
        <w:pStyle w:val="Heading2"/>
        <w:spacing w:after="140" w:before="280"/>
      </w:pPr>
      <w:r>
        <w:rPr>
          <w:rFonts w:ascii="Times New Roman" w:cs="Times New Roman" w:eastAsia="Times New Roman" w:hAnsi="Times New Roman"/>
          <w:b/>
          <w:bCs/>
          <w:sz w:val="25"/>
          <w:szCs w:val="25"/>
        </w:rPr>
        <w:t xml:space="preserve">2.3  Zero-Shot Vision-Language Models</w:t>
      </w:r>
    </w:p>
    <w:p>
      <w:pPr>
        <w:spacing w:after="160" w:line="300"/>
        <w:jc w:val="both"/>
      </w:pPr>
      <w:r>
        <w:rPr>
          <w:rFonts w:ascii="Times New Roman" w:cs="Times New Roman" w:eastAsia="Times New Roman" w:hAnsi="Times New Roman"/>
          <w:sz w:val="22"/>
          <w:szCs w:val="22"/>
        </w:rPr>
        <w:t xml:space="preserve">Contrastive language-image pretraining [19] established that a joint embedding of images and text, trained on several hundred million web-sourced pairs, supports classification of unseen categories by comparing an image embedding against embeddings of natural-language class descriptions. Because no task-specific labels are required, this is the natural first candidate for a deployment at a new site where no annotated frames yet exist. The approach has been extended in two directions relevant here. SigLIP [20] replaces the softmax contrastive objective with a pairwise sigmoid loss, which decouples the objective from batch size and stabilises training; SigLIP 2 [21] adds multilingual coverage and, more importantly for scene classification, stronger dense and localisation features. Open reimplementations trained on public corpora [22] made the pretraining data itself a controlled variable, using LAION-5B [23] and later curated collections such as DataComp [24].</w:t>
      </w:r>
    </w:p>
    <w:p>
      <w:pPr>
        <w:spacing w:after="160" w:line="300"/>
        <w:jc w:val="both"/>
      </w:pPr>
      <w:r>
        <w:rPr>
          <w:rFonts w:ascii="Times New Roman" w:cs="Times New Roman" w:eastAsia="Times New Roman" w:hAnsi="Times New Roman"/>
          <w:sz w:val="22"/>
          <w:szCs w:val="22"/>
        </w:rPr>
        <w:t xml:space="preserve">The relationship between model scale and pretraining-data composition is the most consequential question in this literature for the present work, and the evidence is more equivocal than headline benchmark tables suggest. Controlled scaling studies [22] show smooth improvements with joint scaling of model, data and compute on broad benchmarks, and find that the pretraining distribution shifts the scaling exponent, so that two models of identical architecture can differ substantially according to what they were trained on. On narrower and more domain-specific tasks the picture changes. Fine-grained retail product discrimination [25] and an analysis of granularity and correctness in zero-shot recognition [26] both report that larger backbones do not reliably transfer their benchmark advantage to specialised domains, and that failure is often driven by the class vocabulary rather than by capacity. Occlusion robustness testing of CLIP on a narrow vehicle-classification task [27] shows accuracy collapsing well before human performance does. A practitioner selecting a zero-shot model for a narrow scene-state task therefore cannot assume that the larger variant is better, and any claim to that effect has to be measured on the target distribution rather than inherited from a benchmark.</w:t>
      </w:r>
    </w:p>
    <w:p>
      <w:pPr>
        <w:spacing w:after="160" w:line="300"/>
        <w:jc w:val="both"/>
      </w:pPr>
      <w:r>
        <w:rPr>
          <w:rFonts w:ascii="Times New Roman" w:cs="Times New Roman" w:eastAsia="Times New Roman" w:hAnsi="Times New Roman"/>
          <w:sz w:val="22"/>
          <w:szCs w:val="22"/>
        </w:rPr>
        <w:t xml:space="preserve">Prompt design is the second source of variance and is frequently under-reported. The original formulation [19] already used prompt ensembling over many templates to stabilise predictions, and later work [26] shows that the choice of class name and description can move accuracy substantially, particularly where classes are semantically adjacent. This matters directly for a three-class scheme in which the distinction between active play and idle presence on the same pitch is a matter of activity rather than of object identity, and where the natural-language description of that distinction is doing much of the work.</w:t>
      </w:r>
    </w:p>
    <w:p>
      <w:pPr>
        <w:spacing w:after="160" w:line="300"/>
        <w:jc w:val="both"/>
      </w:pPr>
      <w:r>
        <w:rPr>
          <w:rFonts w:ascii="Times New Roman" w:cs="Times New Roman" w:eastAsia="Times New Roman" w:hAnsi="Times New Roman"/>
          <w:sz w:val="22"/>
          <w:szCs w:val="22"/>
        </w:rPr>
        <w:t xml:space="preserve">Robustness under adverse capture conditions is the third concern, and the literature is comparatively thin. Evaluation of vision-language models on surveillance video [28] finds substantial degradation relative to curated benchmark imagery, and retrieval-enriched classification in low-resource domains [29] addresses the related case of domains poorly represented in the pretraining distribution by augmenting the class representation with retrieved examples. Neither study isolates night-time floodlighting, glare or fog, and the published characterisation of zero-shot performance on low-contrast fixed-camera CCTV imagery remains limited.</w:t>
      </w:r>
    </w:p>
    <w:p>
      <w:pPr>
        <w:spacing w:after="160" w:line="300"/>
        <w:jc w:val="both"/>
      </w:pPr>
      <w:r>
        <w:rPr>
          <w:rFonts w:ascii="Times New Roman" w:cs="Times New Roman" w:eastAsia="Times New Roman" w:hAnsi="Times New Roman"/>
          <w:sz w:val="22"/>
          <w:szCs w:val="22"/>
        </w:rPr>
        <w:t xml:space="preserve">Calibration is the fourth. Zero-shot similarity scores are not probabilities, and their over-confidence is a known obstacle to threshold-based abstention; confidence-aware weighting [30] is one recent response, and the broader neural-network calibration literature [31] establishes that modern networks are systematically over-confident. Any system that escalates uncertain frames to human review, as this one does, depends on the confidence signal being meaningful rather than merely ordered.</w:t>
      </w:r>
    </w:p>
    <w:p>
      <w:pPr>
        <w:spacing w:after="160" w:line="300"/>
        <w:jc w:val="both"/>
      </w:pPr>
      <w:r>
        <w:rPr>
          <w:rFonts w:ascii="Times New Roman" w:cs="Times New Roman" w:eastAsia="Times New Roman" w:hAnsi="Times New Roman"/>
          <w:sz w:val="22"/>
          <w:szCs w:val="22"/>
        </w:rPr>
        <w:t xml:space="preserve">Finally, unified and generative vision-language models occupy a different point on the cost curve. Florence-2 [32] recasts detection, captioning and grounding as a single sequence-to-sequence problem and can therefore return structured scene attributes rather than a single label, which is attractive for producing human-readable justifications alongside a verdict. Small generative models that answer a direct question about a scene are attractive for the same reason. The cost is latency: generative decoding is an order of magnitude more expensive per frame than a single contrastive embedding comparison, which on a CPU-only host restricts such models to escalation of already-uncertain cases rather than to routine per-frame classification.</w:t>
      </w:r>
    </w:p>
    <w:p>
      <w:pPr>
        <w:spacing w:after="200" w:line="300"/>
        <w:jc w:val="both"/>
      </w:pPr>
      <w:r>
        <w:rPr>
          <w:rFonts w:ascii="Times New Roman" w:cs="Times New Roman" w:eastAsia="Times New Roman" w:hAnsi="Times New Roman"/>
          <w:b/>
          <w:bCs/>
          <w:i/>
          <w:iCs/>
          <w:sz w:val="22"/>
          <w:szCs w:val="22"/>
        </w:rPr>
        <w:t xml:space="preserve">Synthesis. </w:t>
      </w:r>
      <w:r>
        <w:rPr>
          <w:rFonts w:ascii="Times New Roman" w:cs="Times New Roman" w:eastAsia="Times New Roman" w:hAnsi="Times New Roman"/>
          <w:sz w:val="22"/>
          <w:szCs w:val="22"/>
        </w:rPr>
        <w:t xml:space="preserve">The consensus is that contrastive vision-language pretraining provides usable zero-shot classification without labels, and that pretraining-data composition matters at least as much as parameter count. The disagreement concerns whether larger models transfer their advantage to narrow domains: broad benchmarks say yes, domain-specific studies say frequently not. The open problems for this thesis are the absence of a systematic characterisation of zero-shot degradation on low-contrast night-time CCTV imagery, and the weak calibration of zero-shot confidence, on which any abstention policy depends.</w:t>
      </w:r>
    </w:p>
    <w:p>
      <w:pPr>
        <w:pStyle w:val="Heading2"/>
        <w:spacing w:after="140" w:before="280"/>
      </w:pPr>
      <w:r>
        <w:rPr>
          <w:rFonts w:ascii="Times New Roman" w:cs="Times New Roman" w:eastAsia="Times New Roman" w:hAnsi="Times New Roman"/>
          <w:b/>
          <w:bCs/>
          <w:sz w:val="25"/>
          <w:szCs w:val="25"/>
        </w:rPr>
        <w:t xml:space="preserve">2.4  Frozen Backbones with Lightweight Trained Heads</w:t>
      </w:r>
    </w:p>
    <w:p>
      <w:pPr>
        <w:spacing w:after="160" w:line="300"/>
        <w:jc w:val="both"/>
      </w:pPr>
      <w:r>
        <w:rPr>
          <w:rFonts w:ascii="Times New Roman" w:cs="Times New Roman" w:eastAsia="Times New Roman" w:hAnsi="Times New Roman"/>
          <w:sz w:val="22"/>
          <w:szCs w:val="22"/>
        </w:rPr>
        <w:t xml:space="preserve">The alternative to zero-shot classification is to keep a large pretrained encoder frozen and to train only a small head on top of its features. This preserves the representational quality of large-scale pretraining while reducing the trainable parameter count to a few thousand, which makes it feasible on a CPU and, more importantly, viable with only a few hundred labelled frames. The candidate encoders divide into three lineages. The supervised Vision Transformer [33] established that a plain transformer trained on large labelled corpora matches or exceeds convolutional networks. Self-distillation without labels [34] showed that self-supervised vision transformers develop features with explicit semantic segmentation properties, a line continued at scale by DINOv2 [35], which was explicitly designed to produce all-purpose features usable with a linear probe and no fine-tuning, and extended further by DINOv3 [36]. Masked autoencoding [37] provides a different self-supervised route with a lower pretraining cost.</w:t>
      </w:r>
    </w:p>
    <w:p>
      <w:pPr>
        <w:spacing w:after="160" w:line="300"/>
        <w:jc w:val="both"/>
      </w:pPr>
      <w:r>
        <w:rPr>
          <w:rFonts w:ascii="Times New Roman" w:cs="Times New Roman" w:eastAsia="Times New Roman" w:hAnsi="Times New Roman"/>
          <w:sz w:val="22"/>
          <w:szCs w:val="22"/>
        </w:rPr>
        <w:t xml:space="preserve">The convolutional lineage remains directly relevant under a CPU budget. ConvNeXt [38] modernised the residual network by adopting transformer design choices while retaining convolutional inductive biases and favourable CPU throughput; ConvNeXt V2 [39] added a masked-autoencoder pretraining scheme co-designed with the architecture. At the low end, EfficientNet [40] and MobileNetV3 [41] remain the reference points for ultra-light inference, with parameter counts an order of magnitude below the transformer backbones. On this task those two were considered as throughput insurance rather than as accuracy candidates.</w:t>
      </w:r>
    </w:p>
    <w:p>
      <w:pPr>
        <w:spacing w:after="160" w:line="300"/>
        <w:jc w:val="both"/>
      </w:pPr>
      <w:r>
        <w:rPr>
          <w:rFonts w:ascii="Times New Roman" w:cs="Times New Roman" w:eastAsia="Times New Roman" w:hAnsi="Times New Roman"/>
          <w:sz w:val="22"/>
          <w:szCs w:val="22"/>
        </w:rPr>
        <w:t xml:space="preserve">Linear probing serves two roles that are worth distinguishing. As an evaluation protocol it measures the linear separability of a representation and is the standard means of comparing self-supervised encoders; as a deployment strategy it is a way of obtaining a classifier under severe data and compute constraints. The transfer literature [42] establishes that better upstream models generally yield better downstream features, but also that the ranking of backbones is not stable across downstream tasks, which is a caution against selecting a backbone on published benchmark position alone. Where fine-tuning is attempted instead, robustness becomes a concern: fine-tuning a zero-shot model can degrade its out-of-distribution behaviour, and variance-reduction approaches [43] and localized latent updates [44] have been proposed to retain zero-shot robustness while adapting. A survey of continual learning for vision-language models [45] places these methods in a common taxonomy. For a small single-site dataset, the safest reading of this literature is that freezing the encoder is not merely cheaper but actively protective.</w:t>
      </w:r>
    </w:p>
    <w:p>
      <w:pPr>
        <w:spacing w:after="160" w:line="300"/>
        <w:jc w:val="both"/>
      </w:pPr>
      <w:r>
        <w:rPr>
          <w:rFonts w:ascii="Times New Roman" w:cs="Times New Roman" w:eastAsia="Times New Roman" w:hAnsi="Times New Roman"/>
          <w:sz w:val="22"/>
          <w:szCs w:val="22"/>
        </w:rPr>
        <w:t xml:space="preserve">Data efficiency is the property that makes the strategy viable here. Because only the head is trained, the effective hypothesis space is small and useful accuracy can be reached with tens rather than thousands of labels. Retrieval-enriched classification in low-resource domains [29] and the use of unlabelled image collections to tune a zero-shot classifier by combining CLIP and DINO features [46] both attack the same regime from the unsupervised side, and both report that a small amount of target-domain signal closes much of the gap to a fully supervised model. The literature is less clear about the shape of the label-efficiency curve in the very-low-label regime, and in particular about whether it is monotone; non-monotone behaviour, in which additional labels harm accuracy because they reintroduce a confound that a balanced small subsample had accidentally removed, is not well documented.</w:t>
      </w:r>
    </w:p>
    <w:p>
      <w:pPr>
        <w:spacing w:after="160" w:line="300"/>
        <w:jc w:val="both"/>
      </w:pPr>
      <w:r>
        <w:rPr>
          <w:rFonts w:ascii="Times New Roman" w:cs="Times New Roman" w:eastAsia="Times New Roman" w:hAnsi="Times New Roman"/>
          <w:sz w:val="22"/>
          <w:szCs w:val="22"/>
        </w:rPr>
        <w:t xml:space="preserve">One implementation detail deserves attention because it silently determines what is being measured. A frozen transformer offers several candidate feature vectors: the class token, a mean over patch tokens, or the output of a pretrained pooling head. These are not interchangeable, and in common implementations the pooling head of a plain supervised transformer is randomly initialised unless it was trained, so extracting it yields a projection of noise rather than a representation. The published literature on representation learning discusses pooling choice mainly in terms of accuracy differences, and does not appear to treat harness errors of this kind as a systematic threat to validity. The nearest relevant work is the analysis of leakage and the reproducibility crisis in machine-learning-based science [47], which documents how pipeline errors rather than modelling errors account for a large share of irreproducible published results. This is a genuine gap: implementation faults are a recognised folk hazard and an under-reported one.</w:t>
      </w:r>
    </w:p>
    <w:p>
      <w:pPr>
        <w:spacing w:after="200" w:line="300"/>
        <w:jc w:val="both"/>
      </w:pPr>
      <w:r>
        <w:rPr>
          <w:rFonts w:ascii="Times New Roman" w:cs="Times New Roman" w:eastAsia="Times New Roman" w:hAnsi="Times New Roman"/>
          <w:b/>
          <w:bCs/>
          <w:i/>
          <w:iCs/>
          <w:sz w:val="22"/>
          <w:szCs w:val="22"/>
        </w:rPr>
        <w:t xml:space="preserve">Synthesis. </w:t>
      </w:r>
      <w:r>
        <w:rPr>
          <w:rFonts w:ascii="Times New Roman" w:cs="Times New Roman" w:eastAsia="Times New Roman" w:hAnsi="Times New Roman"/>
          <w:sz w:val="22"/>
          <w:szCs w:val="22"/>
        </w:rPr>
        <w:t xml:space="preserve">There is agreement that frozen self-supervised features with a linear head are a strong and extremely cheap baseline, and that this is the appropriate strategy under small-data and low-compute constraints. There is disagreement about backbone ranking, which is task-dependent and does not follow benchmark position reliably. The open problems are the shape of the label-efficiency curve at very small sample sizes, and the near-absence of published treatment of feature-extraction and harness errors as a threat to the validity of reported results.</w:t>
      </w:r>
    </w:p>
    <w:p>
      <w:pPr>
        <w:pStyle w:val="Heading2"/>
        <w:spacing w:after="140" w:before="280"/>
      </w:pPr>
      <w:r>
        <w:rPr>
          <w:rFonts w:ascii="Times New Roman" w:cs="Times New Roman" w:eastAsia="Times New Roman" w:hAnsi="Times New Roman"/>
          <w:b/>
          <w:bCs/>
          <w:sz w:val="25"/>
          <w:szCs w:val="25"/>
        </w:rPr>
        <w:t xml:space="preserve">2.5  Shortcut Learning, Spurious Correlation and the Trivial-Baseline Floor</w:t>
      </w:r>
    </w:p>
    <w:p>
      <w:pPr>
        <w:spacing w:after="160" w:line="300"/>
        <w:jc w:val="both"/>
      </w:pPr>
      <w:r>
        <w:rPr>
          <w:rFonts w:ascii="Times New Roman" w:cs="Times New Roman" w:eastAsia="Times New Roman" w:hAnsi="Times New Roman"/>
          <w:sz w:val="22"/>
          <w:szCs w:val="22"/>
        </w:rPr>
        <w:t xml:space="preserve">A classifier trained on a small dataset collected at one site will exploit whatever signal predicts the label most cheaply, and that signal is frequently not the one the designer intended. The general formulation of this failure [48] identifies shortcut learning as decision rules that perform well on standard benchmarks but fail under conditions that break the shortcut, and argues that it is a property of the dataset and the evaluation protocol rather than a defect of any particular architecture. The distinction matters for how it is addressed: no change of backbone removes a shortcut that the data affords.</w:t>
      </w:r>
    </w:p>
    <w:p>
      <w:pPr>
        <w:spacing w:after="160" w:line="300"/>
        <w:jc w:val="both"/>
      </w:pPr>
      <w:r>
        <w:rPr>
          <w:rFonts w:ascii="Times New Roman" w:cs="Times New Roman" w:eastAsia="Times New Roman" w:hAnsi="Times New Roman"/>
          <w:sz w:val="22"/>
          <w:szCs w:val="22"/>
        </w:rPr>
        <w:t xml:space="preserve">The visual forms of the problem are well documented. Background dependence has been isolated by explicitly decomposing images into foreground and background [49], which shows that classifiers retain substantial accuracy from backgrounds alone and lose substantial accuracy when backgrounds are adversarially recombined. Texture rather than shape bias [50] is a related finding: networks trained on standard corpora rely on local texture statistics to a degree humans do not. Both results establish that a high accuracy figure is not by itself evidence that the model is attending to the object of interest.</w:t>
      </w:r>
    </w:p>
    <w:p>
      <w:pPr>
        <w:spacing w:after="160" w:line="300"/>
        <w:jc w:val="both"/>
      </w:pPr>
      <w:r>
        <w:rPr>
          <w:rFonts w:ascii="Times New Roman" w:cs="Times New Roman" w:eastAsia="Times New Roman" w:hAnsi="Times New Roman"/>
          <w:sz w:val="22"/>
          <w:szCs w:val="22"/>
        </w:rPr>
        <w:t xml:space="preserve">The clearest analogues to a single-venue occupancy dataset come from medical imaging, where acquisition conditions are strongly confounded with outcome. A cross-sectional study of pneumonia detection in chest radiographs [51] found that a model generalised poorly across hospital systems because it had partly learned to identify the acquisition site, which was itself correlated with disease prevalence. Analysis of radiographic COVID-19 detection [52] showed models selecting dataset-provenance shortcuts over pathological signal, and a systematic review of machine learning applied to COVID-19 imaging [53] found that of several hundred published models, none was clinically usable, with confounded and duplicated data the leading cause. The structural parallel to a facility dataset in which one class is recorded predominantly in daylight and another predominantly under floodlights is exact: illumination is an acquisition variable that a model can read directly.</w:t>
      </w:r>
    </w:p>
    <w:p>
      <w:pPr>
        <w:spacing w:after="160" w:line="300"/>
        <w:jc w:val="both"/>
      </w:pPr>
      <w:r>
        <w:rPr>
          <w:rFonts w:ascii="Times New Roman" w:cs="Times New Roman" w:eastAsia="Times New Roman" w:hAnsi="Times New Roman"/>
          <w:sz w:val="22"/>
          <w:szCs w:val="22"/>
        </w:rPr>
        <w:t xml:space="preserve">The methodological response with the strongest evidence behind it is to establish a floor. Where a simple non-learned or metadata-only rule reaches accuracy close to that of a deep model, the deep model has not been shown to contribute. The most-cited demonstration outside vision is an analysis of neural recommendation methods [54], which found that the majority of recently published approaches could be matched or beaten by carefully tuned simple baselines, and that the apparent progress was largely an artefact of weak baselines. The argument transfers directly: without a floor, a reported accuracy figure cannot be interpreted, because there is no way to tell how much of it the task itself provides.</w:t>
      </w:r>
    </w:p>
    <w:p>
      <w:pPr>
        <w:spacing w:after="160" w:line="300"/>
        <w:jc w:val="both"/>
      </w:pPr>
      <w:r>
        <w:rPr>
          <w:rFonts w:ascii="Times New Roman" w:cs="Times New Roman" w:eastAsia="Times New Roman" w:hAnsi="Times New Roman"/>
          <w:sz w:val="22"/>
          <w:szCs w:val="22"/>
        </w:rPr>
        <w:t xml:space="preserve">Detection techniques divide into ablation and evaluation design. Input ablation, in which a region or a channel is removed or blurred and the accuracy change is measured, tests what the model actually reads, and follows the same logic as the background decomposition study [49]. Metadata-only baselines test whether the label can be predicted without pixels at all. Evaluation across sites or venues [51] is the strongest single check, since a shortcut specific to one site cannot survive a held-out site. Attribution and saliency methods are widely used for this purpose but are unreliable for it: sanity checks on saliency maps [55] show that several popular methods produce visually plausible explanations that are independent of the model parameters, and therefore cannot serve as evidence about what a model has learned. Reviews of vision-language models for urban monitoring [56] note that cross-domain evaluation and error analysis remain uncommon in that applied literature.</w:t>
      </w:r>
    </w:p>
    <w:p>
      <w:pPr>
        <w:spacing w:after="200" w:line="300"/>
        <w:jc w:val="both"/>
      </w:pPr>
      <w:r>
        <w:rPr>
          <w:rFonts w:ascii="Times New Roman" w:cs="Times New Roman" w:eastAsia="Times New Roman" w:hAnsi="Times New Roman"/>
          <w:b/>
          <w:bCs/>
          <w:i/>
          <w:iCs/>
          <w:sz w:val="22"/>
          <w:szCs w:val="22"/>
        </w:rPr>
        <w:t xml:space="preserve">Synthesis. </w:t>
      </w:r>
      <w:r>
        <w:rPr>
          <w:rFonts w:ascii="Times New Roman" w:cs="Times New Roman" w:eastAsia="Times New Roman" w:hAnsi="Times New Roman"/>
          <w:sz w:val="22"/>
          <w:szCs w:val="22"/>
        </w:rPr>
        <w:t xml:space="preserve">There is consensus that shortcut learning is pervasive, that it is a property of data and protocol rather than of architecture, and that cross-site evaluation is the most reliable diagnostic. There is no comparable consensus on reporting practice: publishing a trivial-baseline floor beside a deep model remains the exception rather than the norm in applied computer vision, and the recommender-systems literature is still the canonical demonstration of what its absence costs. This is an open problem, and one an applied thesis is well placed to address by simply doing it.</w:t>
      </w:r>
    </w:p>
    <w:p>
      <w:pPr>
        <w:pStyle w:val="Heading2"/>
        <w:spacing w:after="140" w:before="280"/>
      </w:pPr>
      <w:r>
        <w:rPr>
          <w:rFonts w:ascii="Times New Roman" w:cs="Times New Roman" w:eastAsia="Times New Roman" w:hAnsi="Times New Roman"/>
          <w:b/>
          <w:bCs/>
          <w:sz w:val="25"/>
          <w:szCs w:val="25"/>
        </w:rPr>
        <w:t xml:space="preserve">2.6  Object Detection as an Ambiguity Resolver</w:t>
      </w:r>
    </w:p>
    <w:p>
      <w:pPr>
        <w:spacing w:after="160" w:line="300"/>
        <w:jc w:val="both"/>
      </w:pPr>
      <w:r>
        <w:rPr>
          <w:rFonts w:ascii="Times New Roman" w:cs="Times New Roman" w:eastAsia="Times New Roman" w:hAnsi="Times New Roman"/>
          <w:sz w:val="22"/>
          <w:szCs w:val="22"/>
        </w:rPr>
        <w:t xml:space="preserve">Scene-level classification produces a single label per frame and therefore cannot express evidence such as "three people are present and one is wearing a high-visibility vest". Where the class boundary depends on that kind of evidence, a detector can be used as a second stage, invoked only for cases the classifier cannot settle. Overviews of the YOLO family [57] trace a decade of single-stage detectors optimised for the speed and accuracy trade-off that this role requires, and real-time detection transformers [58] show that transformer detectors can now compete on that same trade-off without non-maximum suppression.</w:t>
      </w:r>
    </w:p>
    <w:p>
      <w:pPr>
        <w:spacing w:after="160" w:line="300"/>
        <w:jc w:val="both"/>
      </w:pPr>
      <w:r>
        <w:rPr>
          <w:rFonts w:ascii="Times New Roman" w:cs="Times New Roman" w:eastAsia="Times New Roman" w:hAnsi="Times New Roman"/>
          <w:sz w:val="22"/>
          <w:szCs w:val="22"/>
        </w:rPr>
        <w:t xml:space="preserve">Open-vocabulary detection is more useful here than closed-set detection, because the classes that matter for a maintenance verdict are precisely the ones with no training data. YOLO-World [59] attaches a vision-language objective to a YOLO backbone and detects categories specified at inference time by text; Grounding DINO [60] marries a transformer detector with grounded pretraining to the same end. Related work applies vision-language grounding to open-vocabulary out-of-distribution detection [61], and resource-aware referring-segmentation pipelines [62] show the same capability delivered under an explicit compute constraint. The practical consequence for a facility system is that a class such as a groundskeeper with a mower can be expressed as a text query rather than learned from examples that do not exist.</w:t>
      </w:r>
    </w:p>
    <w:p>
      <w:pPr>
        <w:spacing w:after="160" w:line="300"/>
        <w:jc w:val="both"/>
      </w:pPr>
      <w:r>
        <w:rPr>
          <w:rFonts w:ascii="Times New Roman" w:cs="Times New Roman" w:eastAsia="Times New Roman" w:hAnsi="Times New Roman"/>
          <w:sz w:val="22"/>
          <w:szCs w:val="22"/>
        </w:rPr>
        <w:t xml:space="preserve">On the cost side, embedded person counting [18] and benchmarks of fine-tuned detectors on edge hardware [63] establish that detection is feasible without an accelerator, but at a per-frame cost well above a single frozen-backbone embedding. That asymmetry is what motivates a cascade: run the cheap classifier on every frame, and escalate only the small fraction that falls in an uncertain band. The theoretical basis for such escalation is the selective-prediction framework [64], which formalises the trade-off between coverage and risk when a model is permitted to abstain.</w:t>
      </w:r>
    </w:p>
    <w:p>
      <w:pPr>
        <w:spacing w:after="160" w:line="300"/>
        <w:jc w:val="both"/>
      </w:pPr>
      <w:r>
        <w:rPr>
          <w:rFonts w:ascii="Times New Roman" w:cs="Times New Roman" w:eastAsia="Times New Roman" w:hAnsi="Times New Roman"/>
          <w:sz w:val="22"/>
          <w:szCs w:val="22"/>
        </w:rPr>
        <w:t xml:space="preserve">The published treatment of the escalation policy itself is thinner than the treatment of the detectors. Most cascaded systems in the applied literature escalate on a hand-set confidence threshold, and comparisons between a tuned threshold and a learned escalation policy, with the cost of the second stage properly accounted for, are uncommon.</w:t>
      </w:r>
    </w:p>
    <w:p>
      <w:pPr>
        <w:spacing w:after="200" w:line="300"/>
        <w:jc w:val="both"/>
      </w:pPr>
      <w:r>
        <w:rPr>
          <w:rFonts w:ascii="Times New Roman" w:cs="Times New Roman" w:eastAsia="Times New Roman" w:hAnsi="Times New Roman"/>
          <w:b/>
          <w:bCs/>
          <w:i/>
          <w:iCs/>
          <w:sz w:val="22"/>
          <w:szCs w:val="22"/>
        </w:rPr>
        <w:t xml:space="preserve">Synthesis. </w:t>
      </w:r>
      <w:r>
        <w:rPr>
          <w:rFonts w:ascii="Times New Roman" w:cs="Times New Roman" w:eastAsia="Times New Roman" w:hAnsi="Times New Roman"/>
          <w:sz w:val="22"/>
          <w:szCs w:val="22"/>
        </w:rPr>
        <w:t xml:space="preserve">There is consensus that open-vocabulary detection is now the appropriate tool for classes with no training data, and that detection on CPU is feasible but materially more expensive than embedding-based classification, which justifies a cascade. The open problem is the escalation policy: the literature supplies the detectors and the abstention theory, but little empirical comparison of learned against tuned escalation under a realistic compute budget.</w:t>
      </w:r>
    </w:p>
    <w:p>
      <w:pPr>
        <w:pStyle w:val="Heading2"/>
        <w:spacing w:after="140" w:before="280"/>
      </w:pPr>
      <w:r>
        <w:rPr>
          <w:rFonts w:ascii="Times New Roman" w:cs="Times New Roman" w:eastAsia="Times New Roman" w:hAnsi="Times New Roman"/>
          <w:b/>
          <w:bCs/>
          <w:sz w:val="25"/>
          <w:szCs w:val="25"/>
        </w:rPr>
        <w:t xml:space="preserve">2.7  Temporal Aggregation and Multi-Model Fusion</w:t>
      </w:r>
    </w:p>
    <w:p>
      <w:pPr>
        <w:spacing w:after="160" w:line="300"/>
        <w:jc w:val="both"/>
      </w:pPr>
      <w:r>
        <w:rPr>
          <w:rFonts w:ascii="Times New Roman" w:cs="Times New Roman" w:eastAsia="Times New Roman" w:hAnsi="Times New Roman"/>
          <w:sz w:val="22"/>
          <w:szCs w:val="22"/>
        </w:rPr>
        <w:t xml:space="preserve">A rental slot is an hour, and a verdict on it must be formed from a sequence of independently classified frames. The sequence-modelling literature offers two families. Temporal convolutional networks [65] apply dilated causal convolutions over frame-level features to capture long-range structure at low parameter cost, and multi-stage refinements [66] improve segmentation boundaries by iteratively correcting an initial prediction. Both were developed for action segmentation in untrimmed video, where the state changes on a timescale of seconds; a facility occupancy state changes on a timescale of tens of minutes, which is a considerably easier regime and correspondingly less studied.</w:t>
      </w:r>
    </w:p>
    <w:p>
      <w:pPr>
        <w:spacing w:after="160" w:line="300"/>
        <w:jc w:val="both"/>
      </w:pPr>
      <w:r>
        <w:rPr>
          <w:rFonts w:ascii="Times New Roman" w:cs="Times New Roman" w:eastAsia="Times New Roman" w:hAnsi="Times New Roman"/>
          <w:sz w:val="22"/>
          <w:szCs w:val="22"/>
        </w:rPr>
        <w:t xml:space="preserve">Against these sit the simple aggregators: majority voting over the slot, median or run-length smoothing, and threshold rules on the fraction of active frames. These are the baselines any learned aggregator must beat, and the strength of the comparison determines whether a positive result means anything. This is the second genuinely thin area in the literature. Published comparisons overwhelmingly pit a learned model against a fixed, untuned heuristic, which is a weak control; comparisons against a heuristic whose threshold has been tuned on the same training data, or against a hidden Markov model over the per-frame states, are much less common. A learned aggregator that beats an untuned rule has demonstrated very little, and this is the most predictable line of attack on a novelty claim in this area.</w:t>
      </w:r>
    </w:p>
    <w:p>
      <w:pPr>
        <w:spacing w:after="160" w:line="300"/>
        <w:jc w:val="both"/>
      </w:pPr>
      <w:r>
        <w:rPr>
          <w:rFonts w:ascii="Times New Roman" w:cs="Times New Roman" w:eastAsia="Times New Roman" w:hAnsi="Times New Roman"/>
          <w:sz w:val="22"/>
          <w:szCs w:val="22"/>
        </w:rPr>
        <w:t xml:space="preserve">Where multiple synchronised views of the same pitch exist, the aggregation question acquires a second dimension: whether to fuse the views before aggregating over time, or to let the sequence model consume both streams and learn the fusion. Disagreement between two views of the same scene is itself informative, since it can indicate occlusion, a dirty lens, or activity confined to one half of the pitch, and pre-fusion by a maximum-activity rule discards that signal. Video action recognition using attentive semantic units [67] is one example of learned attention over regions in place of a fixed pooling rule, but the specific question of view-disagreement as a signal in fixed-camera monitoring does not appear to have been studied.</w:t>
      </w:r>
    </w:p>
    <w:p>
      <w:pPr>
        <w:spacing w:after="160" w:line="300"/>
        <w:jc w:val="both"/>
      </w:pPr>
      <w:r>
        <w:rPr>
          <w:rFonts w:ascii="Times New Roman" w:cs="Times New Roman" w:eastAsia="Times New Roman" w:hAnsi="Times New Roman"/>
          <w:sz w:val="22"/>
          <w:szCs w:val="22"/>
        </w:rPr>
        <w:t xml:space="preserve">The related idea of routing between models rather than combining their outputs comes from conditional computation. Sparsely gated mixtures of experts [68] introduced input-conditioned routing at scale, and surveys of dynamic neural networks [69] cover early exit and adaptive inference, in which a cheap path handles easy inputs and an expensive path is invoked only when needed. For a multi-backbone system the relevant question is narrower and, in this reviewer’s reading, insufficiently addressed: when does a learned gate over several frozen backbones outperform simple averaging of their logits? Simple averaging is a strong control because it captures complementarity without a learned component, and a gate that fails to beat it has not been shown to contribute. A further hazard specific to this setting is that a gate operating on cheap image statistics such as brightness and contrast can re-learn the very acquisition confound described in Section 2.5, scoring well for the wrong reason.</w:t>
      </w:r>
    </w:p>
    <w:p>
      <w:pPr>
        <w:spacing w:after="200" w:line="300"/>
        <w:jc w:val="both"/>
      </w:pPr>
      <w:r>
        <w:rPr>
          <w:rFonts w:ascii="Times New Roman" w:cs="Times New Roman" w:eastAsia="Times New Roman" w:hAnsi="Times New Roman"/>
          <w:b/>
          <w:bCs/>
          <w:i/>
          <w:iCs/>
          <w:sz w:val="22"/>
          <w:szCs w:val="22"/>
        </w:rPr>
        <w:t xml:space="preserve">Synthesis. </w:t>
      </w:r>
      <w:r>
        <w:rPr>
          <w:rFonts w:ascii="Times New Roman" w:cs="Times New Roman" w:eastAsia="Times New Roman" w:hAnsi="Times New Roman"/>
          <w:sz w:val="22"/>
          <w:szCs w:val="22"/>
        </w:rPr>
        <w:t xml:space="preserve">There is consensus that lightweight temporal models can capture sequence structure at negligible cost, and that conditional computation can improve the accuracy-latency frontier. There is little published evidence on the two comparisons that decide whether such components earn their place: learned aggregation against a properly tuned heuristic, and learned gating against plain logit averaging. Both are open problems, and in both cases a clean negative result would be informative.</w:t>
      </w:r>
    </w:p>
    <w:p>
      <w:pPr>
        <w:pStyle w:val="Heading2"/>
        <w:spacing w:after="140" w:before="280"/>
      </w:pPr>
      <w:r>
        <w:rPr>
          <w:rFonts w:ascii="Times New Roman" w:cs="Times New Roman" w:eastAsia="Times New Roman" w:hAnsi="Times New Roman"/>
          <w:b/>
          <w:bCs/>
          <w:sz w:val="25"/>
          <w:szCs w:val="25"/>
        </w:rPr>
        <w:t xml:space="preserve">2.8  Edge and CPU-Only Inference</w:t>
      </w:r>
    </w:p>
    <w:p>
      <w:pPr>
        <w:spacing w:after="160" w:line="300"/>
        <w:jc w:val="both"/>
      </w:pPr>
      <w:r>
        <w:rPr>
          <w:rFonts w:ascii="Times New Roman" w:cs="Times New Roman" w:eastAsia="Times New Roman" w:hAnsi="Times New Roman"/>
          <w:sz w:val="22"/>
          <w:szCs w:val="22"/>
        </w:rPr>
        <w:t xml:space="preserve">Running modern vision backbones on a single CPU host has been approached from three directions. Knowledge distillation [70] transfers the behaviour of a large teacher into a small student and remains the most general of the three. Applied to vision-language models, multifaceted distillation [71] reports substantial parameter and memory reduction while retaining usable zero-shot accuracy, and cross-architecture distillation of CLIP for edge deployment [72] shows a large teacher compressed into a student suitable for low-compute devices. Both are relevant to a deployment in which the accuracy of a large backbone is wanted but its cost is not.</w:t>
      </w:r>
    </w:p>
    <w:p>
      <w:pPr>
        <w:spacing w:after="160" w:line="300"/>
        <w:jc w:val="both"/>
      </w:pPr>
      <w:r>
        <w:rPr>
          <w:rFonts w:ascii="Times New Roman" w:cs="Times New Roman" w:eastAsia="Times New Roman" w:hAnsi="Times New Roman"/>
          <w:sz w:val="22"/>
          <w:szCs w:val="22"/>
        </w:rPr>
        <w:t xml:space="preserve">Quantisation and graph-level optimisation form the second direction. Post-training integer quantisation and vendor runtimes are standard practice in deployment, but the published academic characterisation of their accuracy cost on frozen-backbone classification specifically is limited, and much of the available material is vendor documentation rather than peer-reviewed evaluation. This is the third thin area worth flagging rather than papering over.</w:t>
      </w:r>
    </w:p>
    <w:p>
      <w:pPr>
        <w:spacing w:after="160" w:line="300"/>
        <w:jc w:val="both"/>
      </w:pPr>
      <w:r>
        <w:rPr>
          <w:rFonts w:ascii="Times New Roman" w:cs="Times New Roman" w:eastAsia="Times New Roman" w:hAnsi="Times New Roman"/>
          <w:sz w:val="22"/>
          <w:szCs w:val="22"/>
        </w:rPr>
        <w:t xml:space="preserve">The third direction is simply to select architectures that are efficient by design, which returns to the efficient convolutional lineage [40], [41] and to modernised convolutional networks with favourable CPU throughput [38]. Applied confirmations exist: a CPU-only OpenCV and ONNX counting pipeline [16], real-time occupancy estimation on ARM [17], embedded top-view counting [18] and edge detector benchmarks [63] all report real-time operation without an accelerator.</w:t>
      </w:r>
    </w:p>
    <w:p>
      <w:pPr>
        <w:spacing w:after="160" w:line="300"/>
        <w:jc w:val="both"/>
      </w:pPr>
      <w:r>
        <w:rPr>
          <w:rFonts w:ascii="Times New Roman" w:cs="Times New Roman" w:eastAsia="Times New Roman" w:hAnsi="Times New Roman"/>
          <w:sz w:val="22"/>
          <w:szCs w:val="22"/>
        </w:rPr>
        <w:t xml:space="preserve">What this literature does not supply is a throughput characterisation for the configuration that actually matters here: one host serving twenty to thirty cameras, where the binding quantity is not single-image latency but the total time to process a full round of frames within a fixed cycle, under thread contention. Published latency figures are almost always single-stream. A consequence that follows from the arithmetic, and that the deployment literature rarely states, is that under a sparse sampling schedule latency may cease to be the binding constraint altogether: if a full round of inference occupies a small fraction of the sampling interval even for the slowest candidate backbone, then speed no longer discriminates between models and selection falls back entirely to accuracy. The edge literature generally assumes the opposite.</w:t>
      </w:r>
    </w:p>
    <w:p>
      <w:pPr>
        <w:spacing w:after="200" w:line="300"/>
        <w:jc w:val="both"/>
      </w:pPr>
      <w:r>
        <w:rPr>
          <w:rFonts w:ascii="Times New Roman" w:cs="Times New Roman" w:eastAsia="Times New Roman" w:hAnsi="Times New Roman"/>
          <w:b/>
          <w:bCs/>
          <w:i/>
          <w:iCs/>
          <w:sz w:val="22"/>
          <w:szCs w:val="22"/>
        </w:rPr>
        <w:t xml:space="preserve">Synthesis. </w:t>
      </w:r>
      <w:r>
        <w:rPr>
          <w:rFonts w:ascii="Times New Roman" w:cs="Times New Roman" w:eastAsia="Times New Roman" w:hAnsi="Times New Roman"/>
          <w:sz w:val="22"/>
          <w:szCs w:val="22"/>
        </w:rPr>
        <w:t xml:space="preserve">There is consensus that distillation, quantisation and efficient architectures each recover a large fraction of the accuracy of heavy models at a fraction of the cost, and that CPU-only real-time vision is feasible. The open problems are the scarcity of peer-reviewed accuracy-cost characterisation for quantised frozen backbones, the absence of multi-stream throughput reporting, and an unexamined assumption that latency is always the binding constraint at the edge.</w:t>
      </w:r>
    </w:p>
    <w:p>
      <w:pPr>
        <w:pStyle w:val="Heading2"/>
        <w:spacing w:after="140" w:before="280"/>
      </w:pPr>
      <w:r>
        <w:rPr>
          <w:rFonts w:ascii="Times New Roman" w:cs="Times New Roman" w:eastAsia="Times New Roman" w:hAnsi="Times New Roman"/>
          <w:b/>
          <w:bCs/>
          <w:sz w:val="25"/>
          <w:szCs w:val="25"/>
        </w:rPr>
        <w:t xml:space="preserve">2.9  Synthetic Data and Annotation Protocol</w:t>
      </w:r>
    </w:p>
    <w:p>
      <w:pPr>
        <w:spacing w:after="160" w:line="300"/>
        <w:jc w:val="both"/>
      </w:pPr>
      <w:r>
        <w:rPr>
          <w:rFonts w:ascii="Times New Roman" w:cs="Times New Roman" w:eastAsia="Times New Roman" w:hAnsi="Times New Roman"/>
          <w:sz w:val="22"/>
          <w:szCs w:val="22"/>
        </w:rPr>
        <w:t xml:space="preserve">Two data problems recur in small operational datasets: classes that are almost absent, and labels produced by a single annotator without a written protocol. For the first, copy-paste augmentation [73] demonstrated that compositing object instances into new backgrounds is a surprisingly strong augmentation, requiring no generative model. Diffusion-based generation has since been used to synthesise whole scenes for detection training in remote sensing [74] and extended to multi-task layout-conditioned generation [75]; the domain differs from ground-level facility imagery, so these are analogues rather than direct precedents. For robustness to conditions absent from the training set, benchmark corruption suites [76] provide a standard parameterisation of synthetic degradations including fog, contrast reduction and noise, and are the usual basis for synthetic weather augmentation. The persistent caution across this literature is that synthesised data for a rare class can install its own shortcut, since a composited instance often differs statistically from a real one in ways a classifier will find before it finds the intended concept.</w:t>
      </w:r>
    </w:p>
    <w:p>
      <w:pPr>
        <w:spacing w:after="160" w:line="300"/>
        <w:jc w:val="both"/>
      </w:pPr>
      <w:r>
        <w:rPr>
          <w:rFonts w:ascii="Times New Roman" w:cs="Times New Roman" w:eastAsia="Times New Roman" w:hAnsi="Times New Roman"/>
          <w:sz w:val="22"/>
          <w:szCs w:val="22"/>
        </w:rPr>
        <w:t xml:space="preserve">Composing synthetic sequences from real frames, in order to train a temporal model when few real sequences exist, raises the same question at the sequence level, and the appropriate protocol is to train on synthetic data and test only on real data so that the synthetic-to-real gap is measured rather than assumed. Published quantification of that gap for composed rather than rendered sequences is scarce.</w:t>
      </w:r>
    </w:p>
    <w:p>
      <w:pPr>
        <w:spacing w:after="160" w:line="300"/>
        <w:jc w:val="both"/>
      </w:pPr>
      <w:r>
        <w:rPr>
          <w:rFonts w:ascii="Times New Roman" w:cs="Times New Roman" w:eastAsia="Times New Roman" w:hAnsi="Times New Roman"/>
          <w:sz w:val="22"/>
          <w:szCs w:val="22"/>
        </w:rPr>
        <w:t xml:space="preserve">On annotation, the relevant findings concern the ceiling rather than the method. Systematic re-annotation of a standard benchmark [77] showed that a meaningful share of apparent model error is label error or genuine ambiguity, and an audit of test-set label errors across ten benchmarks [78] found error rates high enough to reorder model rankings. The implication is that model accuracy should be interpreted against a human ceiling rather than against one hundred per cent, and that differences smaller than the label-noise band are not interpretable. The reliability literature [79] provides the standard chance-corrected agreement coefficients and the accompanying warning that agreement figures are meaningful only relative to a written coding scheme; a single-annotator dataset with a documented protocol is defensible, while a multi-annotator dataset without one is not.</w:t>
      </w:r>
    </w:p>
    <w:p>
      <w:pPr>
        <w:spacing w:after="200" w:line="300"/>
        <w:jc w:val="both"/>
      </w:pPr>
      <w:r>
        <w:rPr>
          <w:rFonts w:ascii="Times New Roman" w:cs="Times New Roman" w:eastAsia="Times New Roman" w:hAnsi="Times New Roman"/>
          <w:b/>
          <w:bCs/>
          <w:i/>
          <w:iCs/>
          <w:sz w:val="22"/>
          <w:szCs w:val="22"/>
        </w:rPr>
        <w:t xml:space="preserve">Synthesis. </w:t>
      </w:r>
      <w:r>
        <w:rPr>
          <w:rFonts w:ascii="Times New Roman" w:cs="Times New Roman" w:eastAsia="Times New Roman" w:hAnsi="Times New Roman"/>
          <w:sz w:val="22"/>
          <w:szCs w:val="22"/>
        </w:rPr>
        <w:t xml:space="preserve">There is consensus that compositing and synthetic corruption are effective and cheap for rare classes and unseen conditions, and that label noise sets a hard ceiling on interpretable accuracy differences. The open problems are quantification of the synthetic-to-real gap for composed sequences, and the general absence of human-ceiling estimates in applied occupancy work, which leaves reported accuracies without a reference point.</w:t>
      </w:r>
    </w:p>
    <w:p>
      <w:pPr>
        <w:pStyle w:val="Heading2"/>
        <w:spacing w:after="140" w:before="280"/>
      </w:pPr>
      <w:r>
        <w:rPr>
          <w:rFonts w:ascii="Times New Roman" w:cs="Times New Roman" w:eastAsia="Times New Roman" w:hAnsi="Times New Roman"/>
          <w:b/>
          <w:bCs/>
          <w:sz w:val="25"/>
          <w:szCs w:val="25"/>
        </w:rPr>
        <w:t xml:space="preserve">2.10  Anomaly Detection and Record-Observation Reconciliation</w:t>
      </w:r>
    </w:p>
    <w:p>
      <w:pPr>
        <w:spacing w:after="160" w:line="300"/>
        <w:jc w:val="both"/>
      </w:pPr>
      <w:r>
        <w:rPr>
          <w:rFonts w:ascii="Times New Roman" w:cs="Times New Roman" w:eastAsia="Times New Roman" w:hAnsi="Times New Roman"/>
          <w:sz w:val="22"/>
          <w:szCs w:val="22"/>
        </w:rPr>
        <w:t xml:space="preserve">Booking verification is an auditing task before it is a vision task: the system compares an observation against an administrative record and flags the disagreement. The vision component is closest in form to anomaly detection under scarce examples of the anomalous class. Few-shot and zero-shot anomaly detection built on large vision-language models [80] and industrial anomaly detection with CLIP-based scoring [81] both address the regime in which normality is plentiful and deviation is rare and heterogeneous, which matches a facility where most slots are unremarkable. The transfer is by analogy rather than by domain, since both target manufacturing inspection.</w:t>
      </w:r>
    </w:p>
    <w:p>
      <w:pPr>
        <w:spacing w:after="160" w:line="300"/>
        <w:jc w:val="both"/>
      </w:pPr>
      <w:r>
        <w:rPr>
          <w:rFonts w:ascii="Times New Roman" w:cs="Times New Roman" w:eastAsia="Times New Roman" w:hAnsi="Times New Roman"/>
          <w:sz w:val="22"/>
          <w:szCs w:val="22"/>
        </w:rPr>
        <w:t xml:space="preserve">The operational half of the problem has been articulated but not solved. Industrial requirements analysis for smart-building occupancy counting [6] identifies reconciliation of occupancy against booking and scheduling systems as a desired capability, and occupancy-prediction reviews [5] place utilisation auditing among the principal motivations for sensing. Neither supplies a method for adjudicating a disagreement between a sensor and a record.</w:t>
      </w:r>
    </w:p>
    <w:p>
      <w:pPr>
        <w:spacing w:after="160" w:line="300"/>
        <w:jc w:val="both"/>
      </w:pPr>
      <w:r>
        <w:rPr>
          <w:rFonts w:ascii="Times New Roman" w:cs="Times New Roman" w:eastAsia="Times New Roman" w:hAnsi="Times New Roman"/>
          <w:sz w:val="22"/>
          <w:szCs w:val="22"/>
        </w:rPr>
        <w:t xml:space="preserve">Where a disagreement cannot be resolved automatically, the standard response is to escalate to a human, and the coverage-risk framework of selective classification [64] provides the formal basis for choosing the escalation threshold: the operator budget for review determines coverage, and coverage determines the achievable precision on the automated remainder. This is the correct formal frame for a review queue, but it is stated in the abstract in that literature rather than instantiated for an audit workflow.</w:t>
      </w:r>
    </w:p>
    <w:p>
      <w:pPr>
        <w:spacing w:after="160" w:line="300"/>
        <w:jc w:val="both"/>
      </w:pPr>
      <w:r>
        <w:rPr>
          <w:rFonts w:ascii="Times New Roman" w:cs="Times New Roman" w:eastAsia="Times New Roman" w:hAnsi="Times New Roman"/>
          <w:sz w:val="22"/>
          <w:szCs w:val="22"/>
        </w:rPr>
        <w:t xml:space="preserve">The fourth thin area, and the most consequential for this thesis, is evaluation under scarce adjudicated ground truth. To measure the precision and recall of a no-show detector, one needs slots for which the truth of the booking record has been independently established, and such labels are expensive and rarely available. The published work does not appear to address what claims remain defensible when they are absent, nor how to report an audit system evaluated on a handful of adjudicated cases. A related structural constraint is equally under-discussed: a system auditing a booking record must not consume that record as an input feature, because a model that has seen the booking flag can no longer provide evidence independent of it. The multimodal fusion literature discusses modality dominance and feature dropout as accuracy concerns, but not as a matter of audit validity.</w:t>
      </w:r>
    </w:p>
    <w:p>
      <w:pPr>
        <w:spacing w:after="200" w:line="300"/>
        <w:jc w:val="both"/>
      </w:pPr>
      <w:r>
        <w:rPr>
          <w:rFonts w:ascii="Times New Roman" w:cs="Times New Roman" w:eastAsia="Times New Roman" w:hAnsi="Times New Roman"/>
          <w:b/>
          <w:bCs/>
          <w:i/>
          <w:iCs/>
          <w:sz w:val="22"/>
          <w:szCs w:val="22"/>
        </w:rPr>
        <w:t xml:space="preserve">Synthesis. </w:t>
      </w:r>
      <w:r>
        <w:rPr>
          <w:rFonts w:ascii="Times New Roman" w:cs="Times New Roman" w:eastAsia="Times New Roman" w:hAnsi="Times New Roman"/>
          <w:sz w:val="22"/>
          <w:szCs w:val="22"/>
        </w:rPr>
        <w:t xml:space="preserve">There is consensus that vision-language models support anomaly detection with few or no examples of the anomalous class, and that reconciliation of sensing against booking records is a recognised operational requirement. There is no established methodology for evaluating such a reconciliation layer when adjudicated ground truth is scarce, and no discussion of the independence constraint between an audit system and the record it audits. This is the least well served of the strands reviewed here.</w:t>
      </w:r>
    </w:p>
    <w:p>
      <w:pPr>
        <w:pStyle w:val="Heading2"/>
        <w:spacing w:after="140" w:before="280"/>
      </w:pPr>
      <w:r>
        <w:rPr>
          <w:rFonts w:ascii="Times New Roman" w:cs="Times New Roman" w:eastAsia="Times New Roman" w:hAnsi="Times New Roman"/>
          <w:b/>
          <w:bCs/>
          <w:sz w:val="25"/>
          <w:szCs w:val="25"/>
        </w:rPr>
        <w:t xml:space="preserve">2.11  Evaluation Methodology and Its Pitfalls</w:t>
      </w:r>
    </w:p>
    <w:p>
      <w:pPr>
        <w:spacing w:after="160" w:line="300"/>
        <w:jc w:val="both"/>
      </w:pPr>
      <w:r>
        <w:rPr>
          <w:rFonts w:ascii="Times New Roman" w:cs="Times New Roman" w:eastAsia="Times New Roman" w:hAnsi="Times New Roman"/>
          <w:sz w:val="22"/>
          <w:szCs w:val="22"/>
        </w:rPr>
        <w:t xml:space="preserve">For a system trained on a small dataset from a handful of sites, the evaluation protocol determines the result more than the architecture does. The general case has been documented across disciplines: a survey of leakage in machine-learning-based science [47] catalogues eight distinct leakage types across hundreds of papers in seventeen fields and finds that leakage-affected results routinely fail to reproduce; the original data-mining formulation [82] defines leakage as the introduction of information about the target that would not legitimately be available at prediction time.</w:t>
      </w:r>
    </w:p>
    <w:p>
      <w:pPr>
        <w:spacing w:after="160" w:line="300"/>
        <w:jc w:val="both"/>
      </w:pPr>
      <w:r>
        <w:rPr>
          <w:rFonts w:ascii="Times New Roman" w:cs="Times New Roman" w:eastAsia="Times New Roman" w:hAnsi="Times New Roman"/>
          <w:sz w:val="22"/>
          <w:szCs w:val="22"/>
        </w:rPr>
        <w:t xml:space="preserve">The form most relevant to fixed-camera data is near-duplicate contamination. Frames sampled from the same camera minutes apart are visually near-identical, so a random split places near-copies of test images in the training set. Purging a standard benchmark of near-duplicates [83] showed that a substantial fraction of its test set had near-duplicates in training and that removing them lowered reported accuracy measurably. Constructing genuinely new test sets for the same distribution [84] produced accuracy drops of several percentage points across many models, with the ranking largely preserved but the absolute numbers substantially inflated in the original evaluation.</w:t>
      </w:r>
    </w:p>
    <w:p>
      <w:pPr>
        <w:spacing w:after="160" w:line="300"/>
        <w:jc w:val="both"/>
      </w:pPr>
      <w:r>
        <w:rPr>
          <w:rFonts w:ascii="Times New Roman" w:cs="Times New Roman" w:eastAsia="Times New Roman" w:hAnsi="Times New Roman"/>
          <w:sz w:val="22"/>
          <w:szCs w:val="22"/>
        </w:rPr>
        <w:t xml:space="preserve">Grouped splitting is the standard remedy: partitioning by the unit that generates the correlation, such as the site, the camera or the venue, rather than by the individual sample. The clinical evidence for its necessity is strong [51], [53], and reviews of applied vision-language monitoring [56] report that cross-domain evaluation remains uncommon in that literature. A consequence less often stated is that grouped splitting can change not only the magnitude of scores but the ranking of models, since backbones differ in how much of their apparent accuracy is site-specific. Where that occurs, the protocol determines which model a practitioner would deploy, which makes the protocol a first-order result rather than a methodological footnote.</w:t>
      </w:r>
    </w:p>
    <w:p>
      <w:pPr>
        <w:spacing w:after="160" w:line="300"/>
        <w:jc w:val="both"/>
      </w:pPr>
      <w:r>
        <w:rPr>
          <w:rFonts w:ascii="Times New Roman" w:cs="Times New Roman" w:eastAsia="Times New Roman" w:hAnsi="Times New Roman"/>
          <w:sz w:val="22"/>
          <w:szCs w:val="22"/>
        </w:rPr>
        <w:t xml:space="preserve">Grouped splitting on a small dataset creates a difficulty of its own. If one class is present at only one site, no held-out site can contain it, and the held-out fold becomes nearly single-class. Metrics computed on such a fold are not interpretable in the usual way: a macro-averaged score over a class with zero support is undefined or misleading, and the honest response is to report the reduced class set explicitly beside the number rather than to conceal a degenerate average. The published guidance on this situation is limited, and the general treatment of imbalance in terms of macro-F1, balanced accuracy and per-class reporting does not directly address a fold in which a class is absent altogether.</w:t>
      </w:r>
    </w:p>
    <w:p>
      <w:pPr>
        <w:spacing w:after="160" w:line="300"/>
        <w:jc w:val="both"/>
      </w:pPr>
      <w:r>
        <w:rPr>
          <w:rFonts w:ascii="Times New Roman" w:cs="Times New Roman" w:eastAsia="Times New Roman" w:hAnsi="Times New Roman"/>
          <w:sz w:val="22"/>
          <w:szCs w:val="22"/>
        </w:rPr>
        <w:t xml:space="preserve">A further consequence of correlated frames is that the nominal sample size overstates the evidence. Frames from one continuous recording are not independent observations, and confidence intervals computed as if they were will be far too narrow. The correct quantity is the number of distinct scenes or recordings rather than the number of frames, and reporting it alongside the frame count is a straightforward safeguard that applied papers rarely adopt.</w:t>
      </w:r>
    </w:p>
    <w:p>
      <w:pPr>
        <w:spacing w:after="160" w:line="300"/>
        <w:jc w:val="both"/>
      </w:pPr>
      <w:r>
        <w:rPr>
          <w:rFonts w:ascii="Times New Roman" w:cs="Times New Roman" w:eastAsia="Times New Roman" w:hAnsi="Times New Roman"/>
          <w:sz w:val="22"/>
          <w:szCs w:val="22"/>
        </w:rPr>
        <w:t xml:space="preserve">Where a system abstains rather than predicting, the confidence score must be calibrated. Modern networks are systematically over-confident [31], and expected calibration error with reliability diagrams [85] provides the standard diagnostic; temperature scaling [31] is the standard single-parameter remedy. The decision structure that follows is selective classification [64], in which the risk-coverage curve rather than a single accuracy figure characterises the system, and the operating point is chosen by the review budget.</w:t>
      </w:r>
    </w:p>
    <w:p>
      <w:pPr>
        <w:spacing w:after="160" w:line="300"/>
        <w:jc w:val="both"/>
      </w:pPr>
      <w:r>
        <w:rPr>
          <w:rFonts w:ascii="Times New Roman" w:cs="Times New Roman" w:eastAsia="Times New Roman" w:hAnsi="Times New Roman"/>
          <w:sz w:val="22"/>
          <w:szCs w:val="22"/>
        </w:rPr>
        <w:t xml:space="preserve">Finally, comparisons between classifiers on a single small test set require care. The standard treatment of statistical tests for comparing supervised learners [86] recommends McNemar’s test for paired comparisons on a single test set and warns against tests that ignore the pairing, and the exact binomial form is required when discordant counts are small. Comparisons across multiple folds or datasets call for the non-parametric procedures set out in the standard reference [87], and any family of comparisons requires multiplicity correction, for which the sequentially rejective procedure [88] is the usual uniformly more powerful alternative to Bonferroni. Effect sizes and interval estimates should accompany every p-value, and pre-registering the analysis plan before the final test set is touched removes the most common source of inflated significance.</w:t>
      </w:r>
    </w:p>
    <w:p>
      <w:pPr>
        <w:spacing w:after="220" w:before="120"/>
      </w:pPr>
      <w:r>
        <w:rPr>
          <w:rFonts w:ascii="Times New Roman" w:cs="Times New Roman" w:eastAsia="Times New Roman" w:hAnsi="Times New Roman"/>
          <w:i/>
          <w:iCs/>
          <w:sz w:val="18"/>
          <w:szCs w:val="18"/>
        </w:rPr>
        <w:t xml:space="preserve">Table 2.3 collects these pitfalls with their mechanism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60"/>
      </w:tblGrid>
      <w:tr>
        <w:trPr>
          <w:tblHeader/>
        </w:trPr>
        <w:tc>
          <w:tcPr>
            <w:tcW w:type="dxa" w:w="2300"/>
            <w:shd w:fill="E7E7E7" w:val="clear"/>
            <w:tcMar>
              <w:top w:type="dxa" w:w="70"/>
              <w:left w:type="dxa" w:w="100"/>
              <w:bottom w:type="dxa" w:w="70"/>
              <w:right w:type="dxa" w:w="100"/>
            </w:tcMar>
          </w:tcPr>
          <w:p>
            <w:pPr>
              <w:spacing w:after="0" w:line="250"/>
            </w:pPr>
            <w:r>
              <w:rPr>
                <w:rFonts w:ascii="Times New Roman" w:cs="Times New Roman" w:eastAsia="Times New Roman" w:hAnsi="Times New Roman"/>
                <w:b/>
                <w:bCs/>
                <w:sz w:val="18"/>
                <w:szCs w:val="18"/>
              </w:rPr>
              <w:t xml:space="preserve">Pitfall</w:t>
            </w:r>
          </w:p>
        </w:tc>
        <w:tc>
          <w:tcPr>
            <w:tcW w:type="dxa" w:w="3200"/>
            <w:shd w:fill="E7E7E7" w:val="clear"/>
            <w:tcMar>
              <w:top w:type="dxa" w:w="70"/>
              <w:left w:type="dxa" w:w="100"/>
              <w:bottom w:type="dxa" w:w="70"/>
              <w:right w:type="dxa" w:w="100"/>
            </w:tcMar>
          </w:tcPr>
          <w:p>
            <w:pPr>
              <w:spacing w:after="0" w:line="250"/>
            </w:pPr>
            <w:r>
              <w:rPr>
                <w:rFonts w:ascii="Times New Roman" w:cs="Times New Roman" w:eastAsia="Times New Roman" w:hAnsi="Times New Roman"/>
                <w:b/>
                <w:bCs/>
                <w:sz w:val="18"/>
                <w:szCs w:val="18"/>
              </w:rPr>
              <w:t xml:space="preserve">How it inflates results</w:t>
            </w:r>
          </w:p>
        </w:tc>
        <w:tc>
          <w:tcPr>
            <w:tcW w:type="dxa" w:w="3860"/>
            <w:shd w:fill="E7E7E7" w:val="clear"/>
            <w:tcMar>
              <w:top w:type="dxa" w:w="70"/>
              <w:left w:type="dxa" w:w="100"/>
              <w:bottom w:type="dxa" w:w="70"/>
              <w:right w:type="dxa" w:w="100"/>
            </w:tcMar>
          </w:tcPr>
          <w:p>
            <w:pPr>
              <w:spacing w:after="0" w:line="250"/>
            </w:pPr>
            <w:r>
              <w:rPr>
                <w:rFonts w:ascii="Times New Roman" w:cs="Times New Roman" w:eastAsia="Times New Roman" w:hAnsi="Times New Roman"/>
                <w:b/>
                <w:bCs/>
                <w:sz w:val="18"/>
                <w:szCs w:val="18"/>
              </w:rPr>
              <w:t xml:space="preserve">Mitigation</w:t>
            </w:r>
          </w:p>
        </w:tc>
      </w:tr>
      <w:tr>
        <w:trPr>
          <w:tblHeader w:val="false"/>
        </w:trPr>
        <w:tc>
          <w:tcPr>
            <w:tcW w:type="dxa" w:w="2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Random rather than grouped splitting</w:t>
            </w:r>
          </w:p>
        </w:tc>
        <w:tc>
          <w:tcPr>
            <w:tcW w:type="dxa" w:w="32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Same scene, camera or venue appears in train and test; the model recognises the site, not the class</w:t>
            </w:r>
          </w:p>
        </w:tc>
        <w:tc>
          <w:tcPr>
            <w:tcW w:type="dxa" w:w="38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Split by venue or camera; leave-one-venue-out [51], [47]</w:t>
            </w:r>
          </w:p>
        </w:tc>
      </w:tr>
      <w:tr>
        <w:trPr>
          <w:tblHeader w:val="false"/>
        </w:trPr>
        <w:tc>
          <w:tcPr>
            <w:tcW w:type="dxa" w:w="2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Near-duplicate contamination</w:t>
            </w:r>
          </w:p>
        </w:tc>
        <w:tc>
          <w:tcPr>
            <w:tcW w:type="dxa" w:w="32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Near-identical frames straddle the split; test accuracy approaches training accuracy</w:t>
            </w:r>
          </w:p>
        </w:tc>
        <w:tc>
          <w:tcPr>
            <w:tcW w:type="dxa" w:w="38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Embedding or perceptual-hash duplicate audit before splitting [83], [84]</w:t>
            </w:r>
          </w:p>
        </w:tc>
      </w:tr>
      <w:tr>
        <w:trPr>
          <w:tblHeader w:val="false"/>
        </w:trPr>
        <w:tc>
          <w:tcPr>
            <w:tcW w:type="dxa" w:w="2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Scene-class confounding</w:t>
            </w:r>
          </w:p>
        </w:tc>
        <w:tc>
          <w:tcPr>
            <w:tcW w:type="dxa" w:w="32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Class correlates with illumination or time of day; accuracy measures scene recognition</w:t>
            </w:r>
          </w:p>
        </w:tc>
        <w:tc>
          <w:tcPr>
            <w:tcW w:type="dxa" w:w="38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Input ablation, metadata-only baseline, cross-site evaluation [49], [52]</w:t>
            </w:r>
          </w:p>
        </w:tc>
      </w:tr>
      <w:tr>
        <w:trPr>
          <w:tblHeader w:val="false"/>
        </w:trPr>
        <w:tc>
          <w:tcPr>
            <w:tcW w:type="dxa" w:w="2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Degenerate near-single-class fold</w:t>
            </w:r>
          </w:p>
        </w:tc>
        <w:tc>
          <w:tcPr>
            <w:tcW w:type="dxa" w:w="32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Trivial majority prediction scores highly; per-class metrics undefined</w:t>
            </w:r>
          </w:p>
        </w:tc>
        <w:tc>
          <w:tcPr>
            <w:tcW w:type="dxa" w:w="38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Report class support per fold; state the reduced class set beside the metric</w:t>
            </w:r>
          </w:p>
        </w:tc>
      </w:tr>
      <w:tr>
        <w:trPr>
          <w:tblHeader w:val="false"/>
        </w:trPr>
        <w:tc>
          <w:tcPr>
            <w:tcW w:type="dxa" w:w="2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Zero-support class inside a macro average</w:t>
            </w:r>
          </w:p>
        </w:tc>
        <w:tc>
          <w:tcPr>
            <w:tcW w:type="dxa" w:w="32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An absent class contributes an undefined or zero term that shifts the average</w:t>
            </w:r>
          </w:p>
        </w:tc>
        <w:tc>
          <w:tcPr>
            <w:tcW w:type="dxa" w:w="38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Report metrics over present classes only, and say so explicitly</w:t>
            </w:r>
          </w:p>
        </w:tc>
      </w:tr>
      <w:tr>
        <w:trPr>
          <w:tblHeader w:val="false"/>
        </w:trPr>
        <w:tc>
          <w:tcPr>
            <w:tcW w:type="dxa" w:w="2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Correlated frames counted as independent</w:t>
            </w:r>
          </w:p>
        </w:tc>
        <w:tc>
          <w:tcPr>
            <w:tcW w:type="dxa" w:w="32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Confidence intervals far too narrow; spurious significance</w:t>
            </w:r>
          </w:p>
        </w:tc>
        <w:tc>
          <w:tcPr>
            <w:tcW w:type="dxa" w:w="38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Report effective sample size, i.e. distinct scenes or recordings, beside the frame count</w:t>
            </w:r>
          </w:p>
        </w:tc>
      </w:tr>
      <w:tr>
        <w:trPr>
          <w:tblHeader w:val="false"/>
        </w:trPr>
        <w:tc>
          <w:tcPr>
            <w:tcW w:type="dxa" w:w="2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Uncorrected multiple comparisons</w:t>
            </w:r>
          </w:p>
        </w:tc>
        <w:tc>
          <w:tcPr>
            <w:tcW w:type="dxa" w:w="32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Some comparison in a large family reaches significance by chance</w:t>
            </w:r>
          </w:p>
        </w:tc>
        <w:tc>
          <w:tcPr>
            <w:tcW w:type="dxa" w:w="38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Pre-register the family; apply Holm correction [88], [87]</w:t>
            </w:r>
          </w:p>
        </w:tc>
      </w:tr>
      <w:tr>
        <w:trPr>
          <w:tblHeader w:val="false"/>
        </w:trPr>
        <w:tc>
          <w:tcPr>
            <w:tcW w:type="dxa" w:w="2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Uncalibrated confidence used for abstention</w:t>
            </w:r>
          </w:p>
        </w:tc>
        <w:tc>
          <w:tcPr>
            <w:tcW w:type="dxa" w:w="32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Over-confident scores make the review threshold meaningless</w:t>
            </w:r>
          </w:p>
        </w:tc>
        <w:tc>
          <w:tcPr>
            <w:tcW w:type="dxa" w:w="38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Reliability diagrams and ECE; temperature scaling [31], [85]</w:t>
            </w:r>
          </w:p>
        </w:tc>
      </w:tr>
      <w:tr>
        <w:trPr>
          <w:tblHeader w:val="false"/>
        </w:trPr>
        <w:tc>
          <w:tcPr>
            <w:tcW w:type="dxa" w:w="2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Comparison against an untuned baseline</w:t>
            </w:r>
          </w:p>
        </w:tc>
        <w:tc>
          <w:tcPr>
            <w:tcW w:type="dxa" w:w="32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A learned model beats a straw rule and appears to contribute</w:t>
            </w:r>
          </w:p>
        </w:tc>
        <w:tc>
          <w:tcPr>
            <w:tcW w:type="dxa" w:w="38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Tune the heuristic on the same data; report a trivial-baseline floor [54]</w:t>
            </w:r>
          </w:p>
        </w:tc>
      </w:tr>
    </w:tbl>
    <w:p>
      <w:pPr>
        <w:spacing w:after="220" w:before="120"/>
      </w:pPr>
      <w:r>
        <w:rPr>
          <w:rFonts w:ascii="Times New Roman" w:cs="Times New Roman" w:eastAsia="Times New Roman" w:hAnsi="Times New Roman"/>
          <w:i/>
          <w:iCs/>
          <w:sz w:val="18"/>
          <w:szCs w:val="18"/>
        </w:rPr>
        <w:t xml:space="preserve">Table 2.3  Evaluation pitfalls relevant to small, single-site, fixed-camera datasets.</w:t>
      </w:r>
    </w:p>
    <w:p>
      <w:pPr>
        <w:spacing w:after="200" w:line="300"/>
        <w:jc w:val="both"/>
      </w:pPr>
      <w:r>
        <w:rPr>
          <w:rFonts w:ascii="Times New Roman" w:cs="Times New Roman" w:eastAsia="Times New Roman" w:hAnsi="Times New Roman"/>
          <w:b/>
          <w:bCs/>
          <w:i/>
          <w:iCs/>
          <w:sz w:val="22"/>
          <w:szCs w:val="22"/>
        </w:rPr>
        <w:t xml:space="preserve">Synthesis. </w:t>
      </w:r>
      <w:r>
        <w:rPr>
          <w:rFonts w:ascii="Times New Roman" w:cs="Times New Roman" w:eastAsia="Times New Roman" w:hAnsi="Times New Roman"/>
          <w:sz w:val="22"/>
          <w:szCs w:val="22"/>
        </w:rPr>
        <w:t xml:space="preserve">There is consensus on the mechanisms: leakage, near-duplication and site confounding all inflate reported accuracy, and grouped splitting, calibration and paired significance testing are the accepted remedies. There is no consensus in practice. Applied computer-vision papers routinely report a single accuracy figure on a random split with no interval estimate, no baseline floor and no calibration analysis, and reviews of the applied literature confirm this. The gap between what is known and what is done is itself the open problem, and it is the one this thesis is positioned to address.</w:t>
      </w:r>
    </w:p>
    <w:p>
      <w:pPr>
        <w:pStyle w:val="Heading2"/>
        <w:spacing w:after="140" w:before="280"/>
      </w:pPr>
      <w:r>
        <w:rPr>
          <w:rFonts w:ascii="Times New Roman" w:cs="Times New Roman" w:eastAsia="Times New Roman" w:hAnsi="Times New Roman"/>
          <w:b/>
          <w:bCs/>
          <w:sz w:val="25"/>
          <w:szCs w:val="25"/>
        </w:rPr>
        <w:t xml:space="preserve">2.12  Privacy-Aware Deployment in Monitored Facilities</w:t>
      </w:r>
    </w:p>
    <w:p>
      <w:pPr>
        <w:spacing w:after="160" w:line="300"/>
        <w:jc w:val="both"/>
      </w:pPr>
      <w:r>
        <w:rPr>
          <w:rFonts w:ascii="Times New Roman" w:cs="Times New Roman" w:eastAsia="Times New Roman" w:hAnsi="Times New Roman"/>
          <w:sz w:val="22"/>
          <w:szCs w:val="22"/>
        </w:rPr>
        <w:t xml:space="preserve">A camera pointed at a sports facility observes identifiable people who are not the subject of the measurement, which constrains both the system design and the research outputs. The technical responses fall on a spectrum of information reduction. Occupancy estimation from deliberately blurred video [89] shows that useful occupancy signal survives aggressive degradation, and low-resolution thermal imaging [13] removes identity at the sensor rather than in software. At the far end, Wi-Fi-based crowd analytics avoid image capture entirely, with k-anonymity [9] and homomorphic encryption over Bloom filters [10] providing formal guarantees, at the cost of the semantic capacity discussed in Section 2.2.</w:t>
      </w:r>
    </w:p>
    <w:p>
      <w:pPr>
        <w:spacing w:after="160" w:line="300"/>
        <w:jc w:val="both"/>
      </w:pPr>
      <w:r>
        <w:rPr>
          <w:rFonts w:ascii="Times New Roman" w:cs="Times New Roman" w:eastAsia="Times New Roman" w:hAnsi="Times New Roman"/>
          <w:sz w:val="22"/>
          <w:szCs w:val="22"/>
        </w:rPr>
        <w:t xml:space="preserve">The trade-off between utility and privacy has been studied directly in shared-space sensing. An investigation of balanced utility, privacy and equity [90] and an earlier treatment of collection and enforcement mechanisms [91] both find that stakeholders accept substantially more sensing when the collection is minimised at source and when enforcement is technical rather than merely contractual. Privacy engineering methodologies [92] provide the process framing for building those constraints in from the design stage rather than retrofitting them.</w:t>
      </w:r>
    </w:p>
    <w:p>
      <w:pPr>
        <w:spacing w:after="160" w:line="300"/>
        <w:jc w:val="both"/>
      </w:pPr>
      <w:r>
        <w:rPr>
          <w:rFonts w:ascii="Times New Roman" w:cs="Times New Roman" w:eastAsia="Times New Roman" w:hAnsi="Times New Roman"/>
          <w:sz w:val="22"/>
          <w:szCs w:val="22"/>
        </w:rPr>
        <w:t xml:space="preserve">Two design consequences follow for a facility audit system and are worth stating because they are cheap to honour and expensive to add later. First, processing on the edge device with only the verdict transmitted removes the largest privacy exposure, which is the video stream itself, and does so for the same reason it removes the bandwidth cost. Second, reporting anomalies per pitch rather than per identified staff member removes the workplace-monitoring exposure at no scientific cost, since the audit question concerns the facility and not the individual. The literature on utility-privacy balance supports the first directly [90], [91]; the second is a design choice rather than a research finding.</w:t>
      </w:r>
    </w:p>
    <w:p>
      <w:pPr>
        <w:spacing w:after="160" w:line="300"/>
        <w:jc w:val="both"/>
      </w:pPr>
      <w:r>
        <w:rPr>
          <w:rFonts w:ascii="Times New Roman" w:cs="Times New Roman" w:eastAsia="Times New Roman" w:hAnsi="Times New Roman"/>
          <w:sz w:val="22"/>
          <w:szCs w:val="22"/>
        </w:rPr>
        <w:t xml:space="preserve">The final constraint concerns research outputs rather than deployment. Footage supplied by a facility operator, showing identifiable members of the public, generally cannot be released as a research dataset. The field’s alternatives are to publish extracted features only, to substitute synthetic data, or to publish no data at all, and the fifth thin area in this review is that the consequences of that constraint for reproducibility are seldom discussed explicitly in applied monitoring papers, even though they bear directly on whether a published result can be checked.</w:t>
      </w:r>
    </w:p>
    <w:p>
      <w:pPr>
        <w:spacing w:after="200" w:line="300"/>
        <w:jc w:val="both"/>
      </w:pPr>
      <w:r>
        <w:rPr>
          <w:rFonts w:ascii="Times New Roman" w:cs="Times New Roman" w:eastAsia="Times New Roman" w:hAnsi="Times New Roman"/>
          <w:b/>
          <w:bCs/>
          <w:i/>
          <w:iCs/>
          <w:sz w:val="22"/>
          <w:szCs w:val="22"/>
        </w:rPr>
        <w:t xml:space="preserve">Synthesis. </w:t>
      </w:r>
      <w:r>
        <w:rPr>
          <w:rFonts w:ascii="Times New Roman" w:cs="Times New Roman" w:eastAsia="Times New Roman" w:hAnsi="Times New Roman"/>
          <w:sz w:val="22"/>
          <w:szCs w:val="22"/>
        </w:rPr>
        <w:t xml:space="preserve">There is consensus that information reduction at the point of capture is the most effective privacy control, and that edge-only processing serves privacy and bandwidth simultaneously. The disagreement is over how much utility must be surrendered, with blurred-video and thermal results suggesting less than commonly assumed. The open problem is reproducibility: privacy constraints on operator-supplied footage prevent dataset release, and the field has not settled on what an acceptable substitute looks like.</w:t>
      </w:r>
    </w:p>
    <w:p>
      <w:pPr>
        <w:pStyle w:val="Heading2"/>
        <w:spacing w:after="140" w:before="280"/>
      </w:pPr>
      <w:r>
        <w:rPr>
          <w:rFonts w:ascii="Times New Roman" w:cs="Times New Roman" w:eastAsia="Times New Roman" w:hAnsi="Times New Roman"/>
          <w:b/>
          <w:bCs/>
          <w:sz w:val="25"/>
          <w:szCs w:val="25"/>
        </w:rPr>
        <w:t xml:space="preserve">2.13  Synthesis and Research Gap</w:t>
      </w:r>
    </w:p>
    <w:p>
      <w:pPr>
        <w:spacing w:after="160" w:line="300"/>
        <w:jc w:val="both"/>
      </w:pPr>
      <w:r>
        <w:rPr>
          <w:rFonts w:ascii="Times New Roman" w:cs="Times New Roman" w:eastAsia="Times New Roman" w:hAnsi="Times New Roman"/>
          <w:sz w:val="22"/>
          <w:szCs w:val="22"/>
        </w:rPr>
        <w:t xml:space="preserve">Read together, the strands above describe a field in which the components of a facility occupancy system are individually mature and jointly untested. Frozen self-supervised backbones with linear heads [35], [39] provide strong representations at a cost compatible with CPU-only inference, and zero-shot vision-language models [19], [21] provide a label-free starting point whose quality depends more on pretraining data than on parameter count [22]. Occupancy sensing is well established for presence and counting across visual and non-visual modalities [5], [6], with camera-based systems demonstrated on embedded and CPU-only hardware [16], [17], [18]. The failure modes are equally well characterised: shortcut learning and acquisition confounding [48], [51], near-duplicate contamination and leakage [83], [47], and the over-confidence of uncalibrated scores [31].</w:t>
      </w:r>
    </w:p>
    <w:p>
      <w:pPr>
        <w:spacing w:after="160" w:line="300"/>
        <w:jc w:val="both"/>
      </w:pPr>
      <w:r>
        <w:rPr>
          <w:rFonts w:ascii="Times New Roman" w:cs="Times New Roman" w:eastAsia="Times New Roman" w:hAnsi="Times New Roman"/>
          <w:sz w:val="22"/>
          <w:szCs w:val="22"/>
        </w:rPr>
        <w:t xml:space="preserve">What the literature does not contain is their intersection. Three specific absences define the gap this thesis occupies.</w:t>
      </w:r>
    </w:p>
    <w:p>
      <w:pPr>
        <w:spacing w:after="160" w:line="300"/>
        <w:jc w:val="both"/>
      </w:pPr>
      <w:r>
        <w:rPr>
          <w:rFonts w:ascii="Times New Roman" w:cs="Times New Roman" w:eastAsia="Times New Roman" w:hAnsi="Times New Roman"/>
          <w:sz w:val="22"/>
          <w:szCs w:val="22"/>
        </w:rPr>
        <w:t xml:space="preserve">First, sparse-sampling occupancy classification under a strict CPU-only budget. Occupancy work assumes continuous or near-continuous frame arrival; edge-deployment work reports single-stream latency rather than multi-camera round time; and neither establishes how far a sampling interval can be stretched for a slowly changing state before a slot-level verdict degrades. The regime of one frame per camera per minute across twenty to thirty cameras on one host is not characterised.</w:t>
      </w:r>
    </w:p>
    <w:p>
      <w:pPr>
        <w:spacing w:after="160" w:line="300"/>
        <w:jc w:val="both"/>
      </w:pPr>
      <w:r>
        <w:rPr>
          <w:rFonts w:ascii="Times New Roman" w:cs="Times New Roman" w:eastAsia="Times New Roman" w:hAnsi="Times New Roman"/>
          <w:sz w:val="22"/>
          <w:szCs w:val="22"/>
        </w:rPr>
        <w:t xml:space="preserve">Second, a leakage-free multi-venue benchmark of modern frozen backbones in which the evaluation protocol is treated as a result. The methodological literature establishes that grouped splitting lowers scores [47], [83], and the clinical literature establishes that site confounding causes it [51], [53]. What is rarely reported, and what matters far more to a practitioner, is a case in which the protocol reverses the ranking of candidate models, so that a reader following the weaker protocol would deploy a different and worse-generalising model. Reporting a trivial non-visual baseline as an explicit floor beside the deep models, in the manner the recommender-systems literature made standard for its own field [54], is likewise still the exception in applied computer vision.</w:t>
      </w:r>
    </w:p>
    <w:p>
      <w:pPr>
        <w:spacing w:after="160" w:line="300"/>
        <w:jc w:val="both"/>
      </w:pPr>
      <w:r>
        <w:rPr>
          <w:rFonts w:ascii="Times New Roman" w:cs="Times New Roman" w:eastAsia="Times New Roman" w:hAnsi="Times New Roman"/>
          <w:sz w:val="22"/>
          <w:szCs w:val="22"/>
        </w:rPr>
        <w:t xml:space="preserve">Third, an operational audit layer that reconciles a visual verdict against an administrative booking record under scarce adjudicated ground truth. The requirement is recognised [6] and the abstention machinery exists [64], but there is no established methodology for evaluating such a layer when only a handful of adjudicated cases are available, and no treatment of the constraint that an audit system must remain independent of the record it audits.</w:t>
      </w:r>
    </w:p>
    <w:p>
      <w:pPr>
        <w:spacing w:after="160" w:line="300"/>
        <w:jc w:val="both"/>
      </w:pPr>
      <w:r>
        <w:rPr>
          <w:rFonts w:ascii="Times New Roman" w:cs="Times New Roman" w:eastAsia="Times New Roman" w:hAnsi="Times New Roman"/>
          <w:sz w:val="22"/>
          <w:szCs w:val="22"/>
        </w:rPr>
        <w:t xml:space="preserve">A fourth observation cuts across all three and concerns reporting norms rather than methods. Two of the architectural components proposed for this system, a learned temporal slot-aggregator and a gated multi-backbone fusion head, are pre-registered with the explicit possibility of a negative result, because the controls that would make a positive result meaningful, a tuned heuristic aggregator and plain logit averaging respectively, are strong. The applied computer-vision literature offers little guidance on how such outcomes should be reported. Negative and preliminary results are comparatively rare in the venues surveyed here, and the field’s methodological reviews [53], [56] identify the resulting publication asymmetry as a contributor to the reproducibility problems they document. That absence is itself part of the gap, and a thesis that pre-registers its hypotheses and reports the outcome in either direction addresses it directly.</w:t>
      </w:r>
    </w:p>
    <w:p>
      <w:pPr>
        <w:spacing w:after="160" w:line="300"/>
        <w:jc w:val="both"/>
      </w:pPr>
      <w:r>
        <w:rPr>
          <w:rFonts w:ascii="Times New Roman" w:cs="Times New Roman" w:eastAsia="Times New Roman" w:hAnsi="Times New Roman"/>
          <w:sz w:val="22"/>
          <w:szCs w:val="22"/>
        </w:rPr>
        <w:t xml:space="preserve">The thesis therefore sits at the intersection of a sampling regime that has not been characterised, an evaluation protocol whose consequences have not been reported as a result in this domain, and an audit layer for which no evaluation methodology exists. Each of the three admits a study of a different kind: a controlled sampling-rate ablation for the first, a venue-grouped benchmark with a trivial-baseline floor and paired significance testing for the second, and a small adjudicated case study with explicitly scoped claims for the third.</w:t>
      </w:r>
    </w:p>
    <w:p>
      <w:r>
        <w:br w:type="page"/>
      </w:r>
    </w:p>
    <w:p>
      <w:pPr>
        <w:pStyle w:val="Heading1"/>
        <w:spacing w:after="140" w:before="280"/>
      </w:pPr>
      <w:r>
        <w:rPr>
          <w:rFonts w:ascii="Times New Roman" w:cs="Times New Roman" w:eastAsia="Times New Roman" w:hAnsi="Times New Roman"/>
          <w:b/>
          <w:bCs/>
          <w:sz w:val="30"/>
          <w:szCs w:val="30"/>
        </w:rPr>
        <w:t xml:space="preserve">Comparative Tables</w:t>
      </w:r>
    </w:p>
    <w:p>
      <w:pPr>
        <w:spacing w:after="220" w:before="120"/>
      </w:pPr>
      <w:r>
        <w:rPr>
          <w:rFonts w:ascii="Times New Roman" w:cs="Times New Roman" w:eastAsia="Times New Roman" w:hAnsi="Times New Roman"/>
          <w:i/>
          <w:iCs/>
          <w:sz w:val="18"/>
          <w:szCs w:val="18"/>
        </w:rPr>
        <w:t xml:space="preserve">Table 2.1  Model families as characterised in the reviewed literature. Accuracy ranges are indicative of the cited studies, not of this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600"/>
        <w:gridCol w:w="2280"/>
        <w:gridCol w:w="2280"/>
      </w:tblGrid>
      <w:tr>
        <w:trPr>
          <w:tblHeader/>
        </w:trPr>
        <w:tc>
          <w:tcPr>
            <w:tcW w:type="dxa" w:w="1700"/>
            <w:shd w:fill="E7E7E7" w:val="clear"/>
            <w:tcMar>
              <w:top w:type="dxa" w:w="70"/>
              <w:left w:type="dxa" w:w="100"/>
              <w:bottom w:type="dxa" w:w="70"/>
              <w:right w:type="dxa" w:w="100"/>
            </w:tcMar>
          </w:tcPr>
          <w:p>
            <w:pPr>
              <w:spacing w:after="0" w:line="250"/>
            </w:pPr>
            <w:r>
              <w:rPr>
                <w:rFonts w:ascii="Times New Roman" w:cs="Times New Roman" w:eastAsia="Times New Roman" w:hAnsi="Times New Roman"/>
                <w:b/>
                <w:bCs/>
                <w:sz w:val="18"/>
                <w:szCs w:val="18"/>
              </w:rPr>
              <w:t xml:space="preserve">Family</w:t>
            </w:r>
          </w:p>
        </w:tc>
        <w:tc>
          <w:tcPr>
            <w:tcW w:type="dxa" w:w="1500"/>
            <w:shd w:fill="E7E7E7" w:val="clear"/>
            <w:tcMar>
              <w:top w:type="dxa" w:w="70"/>
              <w:left w:type="dxa" w:w="100"/>
              <w:bottom w:type="dxa" w:w="70"/>
              <w:right w:type="dxa" w:w="100"/>
            </w:tcMar>
          </w:tcPr>
          <w:p>
            <w:pPr>
              <w:spacing w:after="0" w:line="250"/>
            </w:pPr>
            <w:r>
              <w:rPr>
                <w:rFonts w:ascii="Times New Roman" w:cs="Times New Roman" w:eastAsia="Times New Roman" w:hAnsi="Times New Roman"/>
                <w:b/>
                <w:bCs/>
                <w:sz w:val="18"/>
                <w:szCs w:val="18"/>
              </w:rPr>
              <w:t xml:space="preserve">Representation</w:t>
            </w:r>
          </w:p>
        </w:tc>
        <w:tc>
          <w:tcPr>
            <w:tcW w:type="dxa" w:w="1600"/>
            <w:shd w:fill="E7E7E7" w:val="clear"/>
            <w:tcMar>
              <w:top w:type="dxa" w:w="70"/>
              <w:left w:type="dxa" w:w="100"/>
              <w:bottom w:type="dxa" w:w="70"/>
              <w:right w:type="dxa" w:w="100"/>
            </w:tcMar>
          </w:tcPr>
          <w:p>
            <w:pPr>
              <w:spacing w:after="0" w:line="250"/>
            </w:pPr>
            <w:r>
              <w:rPr>
                <w:rFonts w:ascii="Times New Roman" w:cs="Times New Roman" w:eastAsia="Times New Roman" w:hAnsi="Times New Roman"/>
                <w:b/>
                <w:bCs/>
                <w:sz w:val="18"/>
                <w:szCs w:val="18"/>
              </w:rPr>
              <w:t xml:space="preserve">Labels needed</w:t>
            </w:r>
          </w:p>
        </w:tc>
        <w:tc>
          <w:tcPr>
            <w:tcW w:type="dxa" w:w="2280"/>
            <w:shd w:fill="E7E7E7" w:val="clear"/>
            <w:tcMar>
              <w:top w:type="dxa" w:w="70"/>
              <w:left w:type="dxa" w:w="100"/>
              <w:bottom w:type="dxa" w:w="70"/>
              <w:right w:type="dxa" w:w="100"/>
            </w:tcMar>
          </w:tcPr>
          <w:p>
            <w:pPr>
              <w:spacing w:after="0" w:line="250"/>
            </w:pPr>
            <w:r>
              <w:rPr>
                <w:rFonts w:ascii="Times New Roman" w:cs="Times New Roman" w:eastAsia="Times New Roman" w:hAnsi="Times New Roman"/>
                <w:b/>
                <w:bCs/>
                <w:sz w:val="18"/>
                <w:szCs w:val="18"/>
              </w:rPr>
              <w:t xml:space="preserve">Robustness to domain shift</w:t>
            </w:r>
          </w:p>
        </w:tc>
        <w:tc>
          <w:tcPr>
            <w:tcW w:type="dxa" w:w="2280"/>
            <w:shd w:fill="E7E7E7" w:val="clear"/>
            <w:tcMar>
              <w:top w:type="dxa" w:w="70"/>
              <w:left w:type="dxa" w:w="100"/>
              <w:bottom w:type="dxa" w:w="70"/>
              <w:right w:type="dxa" w:w="100"/>
            </w:tcMar>
          </w:tcPr>
          <w:p>
            <w:pPr>
              <w:spacing w:after="0" w:line="250"/>
            </w:pPr>
            <w:r>
              <w:rPr>
                <w:rFonts w:ascii="Times New Roman" w:cs="Times New Roman" w:eastAsia="Times New Roman" w:hAnsi="Times New Roman"/>
                <w:b/>
                <w:bCs/>
                <w:sz w:val="18"/>
                <w:szCs w:val="18"/>
              </w:rPr>
              <w:t xml:space="preserve">CPU cost</w:t>
            </w:r>
          </w:p>
        </w:tc>
      </w:tr>
      <w:tr>
        <w:trPr>
          <w:tblHeader w:val="false"/>
        </w:trPr>
        <w:tc>
          <w:tcPr>
            <w:tcW w:type="dxa" w:w="17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Zero-shot contrastive VLM [19], [21]</w:t>
            </w:r>
          </w:p>
        </w:tc>
        <w:tc>
          <w:tcPr>
            <w:tcW w:type="dxa" w:w="15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Joint image-text embedding</w:t>
            </w:r>
          </w:p>
        </w:tc>
        <w:tc>
          <w:tcPr>
            <w:tcW w:type="dxa" w:w="16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None</w:t>
            </w:r>
          </w:p>
        </w:tc>
        <w:tc>
          <w:tcPr>
            <w:tcW w:type="dxa" w:w="228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Good on broad classes; degrades on narrow domains and adverse capture [27], [28]</w:t>
            </w:r>
          </w:p>
        </w:tc>
        <w:tc>
          <w:tcPr>
            <w:tcW w:type="dxa" w:w="228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One forward pass; text side precomputable</w:t>
            </w:r>
          </w:p>
        </w:tc>
      </w:tr>
      <w:tr>
        <w:trPr>
          <w:tblHeader w:val="false"/>
        </w:trPr>
        <w:tc>
          <w:tcPr>
            <w:tcW w:type="dxa" w:w="17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Generative VLM [32]</w:t>
            </w:r>
          </w:p>
        </w:tc>
        <w:tc>
          <w:tcPr>
            <w:tcW w:type="dxa" w:w="15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Sequence-to-sequence over visual tokens</w:t>
            </w:r>
          </w:p>
        </w:tc>
        <w:tc>
          <w:tcPr>
            <w:tcW w:type="dxa" w:w="16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None</w:t>
            </w:r>
          </w:p>
        </w:tc>
        <w:tc>
          <w:tcPr>
            <w:tcW w:type="dxa" w:w="228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Richer scene attributes; not systematically evaluated on CCTV imagery</w:t>
            </w:r>
          </w:p>
        </w:tc>
        <w:tc>
          <w:tcPr>
            <w:tcW w:type="dxa" w:w="228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An order of magnitude higher; escalation only</w:t>
            </w:r>
          </w:p>
        </w:tc>
      </w:tr>
      <w:tr>
        <w:trPr>
          <w:tblHeader w:val="false"/>
        </w:trPr>
        <w:tc>
          <w:tcPr>
            <w:tcW w:type="dxa" w:w="17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Frozen backbone + linear probe [35], [39]</w:t>
            </w:r>
          </w:p>
        </w:tc>
        <w:tc>
          <w:tcPr>
            <w:tcW w:type="dxa" w:w="15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Frozen features, small trained head</w:t>
            </w:r>
          </w:p>
        </w:tc>
        <w:tc>
          <w:tcPr>
            <w:tcW w:type="dxa" w:w="16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Tens to hundreds</w:t>
            </w:r>
          </w:p>
        </w:tc>
        <w:tc>
          <w:tcPr>
            <w:tcW w:type="dxa" w:w="228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Strong for self-supervised features; ranking is task-dependent [42]</w:t>
            </w:r>
          </w:p>
        </w:tc>
        <w:tc>
          <w:tcPr>
            <w:tcW w:type="dxa" w:w="228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One forward pass; head negligible</w:t>
            </w:r>
          </w:p>
        </w:tc>
      </w:tr>
      <w:tr>
        <w:trPr>
          <w:tblHeader w:val="false"/>
        </w:trPr>
        <w:tc>
          <w:tcPr>
            <w:tcW w:type="dxa" w:w="17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Fully fine-tuned CNN or ViT [33]</w:t>
            </w:r>
          </w:p>
        </w:tc>
        <w:tc>
          <w:tcPr>
            <w:tcW w:type="dxa" w:w="15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All weights adapted</w:t>
            </w:r>
          </w:p>
        </w:tc>
        <w:tc>
          <w:tcPr>
            <w:tcW w:type="dxa" w:w="16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Thousands</w:t>
            </w:r>
          </w:p>
        </w:tc>
        <w:tc>
          <w:tcPr>
            <w:tcW w:type="dxa" w:w="228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Can degrade out-of-distribution robustness [43]</w:t>
            </w:r>
          </w:p>
        </w:tc>
        <w:tc>
          <w:tcPr>
            <w:tcW w:type="dxa" w:w="228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Inference as above; training infeasible on CPU</w:t>
            </w:r>
          </w:p>
        </w:tc>
      </w:tr>
      <w:tr>
        <w:trPr>
          <w:tblHeader w:val="false"/>
        </w:trPr>
        <w:tc>
          <w:tcPr>
            <w:tcW w:type="dxa" w:w="17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Open-vocabulary detector [59], [60]</w:t>
            </w:r>
          </w:p>
        </w:tc>
        <w:tc>
          <w:tcPr>
            <w:tcW w:type="dxa" w:w="15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Text-conditioned region proposals</w:t>
            </w:r>
          </w:p>
        </w:tc>
        <w:tc>
          <w:tcPr>
            <w:tcW w:type="dxa" w:w="16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None for new classes</w:t>
            </w:r>
          </w:p>
        </w:tc>
        <w:tc>
          <w:tcPr>
            <w:tcW w:type="dxa" w:w="228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Handles classes with no training data</w:t>
            </w:r>
          </w:p>
        </w:tc>
        <w:tc>
          <w:tcPr>
            <w:tcW w:type="dxa" w:w="228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Materially higher than classification [63]</w:t>
            </w:r>
          </w:p>
        </w:tc>
      </w:tr>
      <w:tr>
        <w:trPr>
          <w:tblHeader w:val="false"/>
        </w:trPr>
        <w:tc>
          <w:tcPr>
            <w:tcW w:type="dxa" w:w="17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Trivial baseline (clock rule, colour histogram, metadata only)</w:t>
            </w:r>
          </w:p>
        </w:tc>
        <w:tc>
          <w:tcPr>
            <w:tcW w:type="dxa" w:w="15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Hand-specified features or none</w:t>
            </w:r>
          </w:p>
        </w:tc>
        <w:tc>
          <w:tcPr>
            <w:tcW w:type="dxa" w:w="16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None to tens</w:t>
            </w:r>
          </w:p>
        </w:tc>
        <w:tc>
          <w:tcPr>
            <w:tcW w:type="dxa" w:w="228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Collapses across sites by construction</w:t>
            </w:r>
          </w:p>
        </w:tc>
        <w:tc>
          <w:tcPr>
            <w:tcW w:type="dxa" w:w="228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Negligible</w:t>
            </w:r>
          </w:p>
        </w:tc>
      </w:tr>
    </w:tbl>
    <w:p>
      <w:pPr>
        <w:spacing w:after="200" w:line="300"/>
        <w:jc w:val="both"/>
      </w:pPr>
      <w:r>
        <w:rPr>
          <w:rFonts w:ascii="Times New Roman" w:cs="Times New Roman" w:eastAsia="Times New Roman" w:hAnsi="Times New Roman"/>
          <w:sz w:val="22"/>
          <w:szCs w:val="22"/>
        </w:rPr>
        <w:t xml:space="preserve"/>
      </w:r>
    </w:p>
    <w:p>
      <w:pPr>
        <w:spacing w:after="220" w:before="120"/>
      </w:pPr>
      <w:r>
        <w:rPr>
          <w:rFonts w:ascii="Times New Roman" w:cs="Times New Roman" w:eastAsia="Times New Roman" w:hAnsi="Times New Roman"/>
          <w:i/>
          <w:iCs/>
          <w:sz w:val="18"/>
          <w:szCs w:val="18"/>
        </w:rPr>
        <w:t xml:space="preserve">Table 2.2  Candidate architectures considered for this system, in chronological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300"/>
        <w:gridCol w:w="3460"/>
      </w:tblGrid>
      <w:tr>
        <w:trPr>
          <w:tblHeader/>
        </w:trPr>
        <w:tc>
          <w:tcPr>
            <w:tcW w:type="dxa" w:w="700"/>
            <w:shd w:fill="E7E7E7" w:val="clear"/>
            <w:tcMar>
              <w:top w:type="dxa" w:w="70"/>
              <w:left w:type="dxa" w:w="100"/>
              <w:bottom w:type="dxa" w:w="70"/>
              <w:right w:type="dxa" w:w="100"/>
            </w:tcMar>
          </w:tcPr>
          <w:p>
            <w:pPr>
              <w:spacing w:after="0" w:line="250"/>
            </w:pPr>
            <w:r>
              <w:rPr>
                <w:rFonts w:ascii="Times New Roman" w:cs="Times New Roman" w:eastAsia="Times New Roman" w:hAnsi="Times New Roman"/>
                <w:b/>
                <w:bCs/>
                <w:sz w:val="18"/>
                <w:szCs w:val="18"/>
              </w:rPr>
              <w:t xml:space="preserve">Year</w:t>
            </w:r>
          </w:p>
        </w:tc>
        <w:tc>
          <w:tcPr>
            <w:tcW w:type="dxa" w:w="1900"/>
            <w:shd w:fill="E7E7E7" w:val="clear"/>
            <w:tcMar>
              <w:top w:type="dxa" w:w="70"/>
              <w:left w:type="dxa" w:w="100"/>
              <w:bottom w:type="dxa" w:w="70"/>
              <w:right w:type="dxa" w:w="100"/>
            </w:tcMar>
          </w:tcPr>
          <w:p>
            <w:pPr>
              <w:spacing w:after="0" w:line="250"/>
            </w:pPr>
            <w:r>
              <w:rPr>
                <w:rFonts w:ascii="Times New Roman" w:cs="Times New Roman" w:eastAsia="Times New Roman" w:hAnsi="Times New Roman"/>
                <w:b/>
                <w:bCs/>
                <w:sz w:val="18"/>
                <w:szCs w:val="18"/>
              </w:rPr>
              <w:t xml:space="preserve">Model</w:t>
            </w:r>
          </w:p>
        </w:tc>
        <w:tc>
          <w:tcPr>
            <w:tcW w:type="dxa" w:w="3300"/>
            <w:shd w:fill="E7E7E7" w:val="clear"/>
            <w:tcMar>
              <w:top w:type="dxa" w:w="70"/>
              <w:left w:type="dxa" w:w="100"/>
              <w:bottom w:type="dxa" w:w="70"/>
              <w:right w:type="dxa" w:w="100"/>
            </w:tcMar>
          </w:tcPr>
          <w:p>
            <w:pPr>
              <w:spacing w:after="0" w:line="250"/>
            </w:pPr>
            <w:r>
              <w:rPr>
                <w:rFonts w:ascii="Times New Roman" w:cs="Times New Roman" w:eastAsia="Times New Roman" w:hAnsi="Times New Roman"/>
                <w:b/>
                <w:bCs/>
                <w:sz w:val="18"/>
                <w:szCs w:val="18"/>
              </w:rPr>
              <w:t xml:space="preserve">Core idea</w:t>
            </w:r>
          </w:p>
        </w:tc>
        <w:tc>
          <w:tcPr>
            <w:tcW w:type="dxa" w:w="3460"/>
            <w:shd w:fill="E7E7E7" w:val="clear"/>
            <w:tcMar>
              <w:top w:type="dxa" w:w="70"/>
              <w:left w:type="dxa" w:w="100"/>
              <w:bottom w:type="dxa" w:w="70"/>
              <w:right w:type="dxa" w:w="100"/>
            </w:tcMar>
          </w:tcPr>
          <w:p>
            <w:pPr>
              <w:spacing w:after="0" w:line="250"/>
            </w:pPr>
            <w:r>
              <w:rPr>
                <w:rFonts w:ascii="Times New Roman" w:cs="Times New Roman" w:eastAsia="Times New Roman" w:hAnsi="Times New Roman"/>
                <w:b/>
                <w:bCs/>
                <w:sz w:val="18"/>
                <w:szCs w:val="18"/>
              </w:rPr>
              <w:t xml:space="preserve">Relevance as a candidate</w:t>
            </w:r>
          </w:p>
        </w:tc>
      </w:tr>
      <w:tr>
        <w:trPr>
          <w:tblHeader w:val="false"/>
        </w:trPr>
        <w:tc>
          <w:tcPr>
            <w:tcW w:type="dxa" w:w="7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2019</w:t>
            </w:r>
          </w:p>
        </w:tc>
        <w:tc>
          <w:tcPr>
            <w:tcW w:type="dxa" w:w="19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EfficientNet [40]</w:t>
            </w:r>
          </w:p>
        </w:tc>
        <w:tc>
          <w:tcPr>
            <w:tcW w:type="dxa" w:w="3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Compound scaling of depth, width and resolution</w:t>
            </w:r>
          </w:p>
        </w:tc>
        <w:tc>
          <w:tcPr>
            <w:tcW w:type="dxa" w:w="34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Throughput insurance if transformer backbones prove too slow</w:t>
            </w:r>
          </w:p>
        </w:tc>
      </w:tr>
      <w:tr>
        <w:trPr>
          <w:tblHeader w:val="false"/>
        </w:trPr>
        <w:tc>
          <w:tcPr>
            <w:tcW w:type="dxa" w:w="7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2019</w:t>
            </w:r>
          </w:p>
        </w:tc>
        <w:tc>
          <w:tcPr>
            <w:tcW w:type="dxa" w:w="19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MobileNetV3 [41]</w:t>
            </w:r>
          </w:p>
        </w:tc>
        <w:tc>
          <w:tcPr>
            <w:tcW w:type="dxa" w:w="3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Architecture search plus hardware-aware design</w:t>
            </w:r>
          </w:p>
        </w:tc>
        <w:tc>
          <w:tcPr>
            <w:tcW w:type="dxa" w:w="34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Same role; also the student in several VLM distillations [71]</w:t>
            </w:r>
          </w:p>
        </w:tc>
      </w:tr>
      <w:tr>
        <w:trPr>
          <w:tblHeader w:val="false"/>
        </w:trPr>
        <w:tc>
          <w:tcPr>
            <w:tcW w:type="dxa" w:w="7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2021</w:t>
            </w:r>
          </w:p>
        </w:tc>
        <w:tc>
          <w:tcPr>
            <w:tcW w:type="dxa" w:w="19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ViT [33]</w:t>
            </w:r>
          </w:p>
        </w:tc>
        <w:tc>
          <w:tcPr>
            <w:tcW w:type="dxa" w:w="3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Pure transformer on image patches at scale</w:t>
            </w:r>
          </w:p>
        </w:tc>
        <w:tc>
          <w:tcPr>
            <w:tcW w:type="dxa" w:w="34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Supervised reference backbone for the probe comparison</w:t>
            </w:r>
          </w:p>
        </w:tc>
      </w:tr>
      <w:tr>
        <w:trPr>
          <w:tblHeader w:val="false"/>
        </w:trPr>
        <w:tc>
          <w:tcPr>
            <w:tcW w:type="dxa" w:w="7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2021</w:t>
            </w:r>
          </w:p>
        </w:tc>
        <w:tc>
          <w:tcPr>
            <w:tcW w:type="dxa" w:w="19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CLIP [19]</w:t>
            </w:r>
          </w:p>
        </w:tc>
        <w:tc>
          <w:tcPr>
            <w:tcW w:type="dxa" w:w="3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Contrastive image-text pretraining, zero-shot transfer</w:t>
            </w:r>
          </w:p>
        </w:tc>
        <w:tc>
          <w:tcPr>
            <w:tcW w:type="dxa" w:w="34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Zero-label cold-start baseline at a new site</w:t>
            </w:r>
          </w:p>
        </w:tc>
      </w:tr>
      <w:tr>
        <w:trPr>
          <w:tblHeader w:val="false"/>
        </w:trPr>
        <w:tc>
          <w:tcPr>
            <w:tcW w:type="dxa" w:w="7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2021</w:t>
            </w:r>
          </w:p>
        </w:tc>
        <w:tc>
          <w:tcPr>
            <w:tcW w:type="dxa" w:w="19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DINO [34]</w:t>
            </w:r>
          </w:p>
        </w:tc>
        <w:tc>
          <w:tcPr>
            <w:tcW w:type="dxa" w:w="3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Self-distillation without labels</w:t>
            </w:r>
          </w:p>
        </w:tc>
        <w:tc>
          <w:tcPr>
            <w:tcW w:type="dxa" w:w="34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Origin of the self-supervised lineage used here</w:t>
            </w:r>
          </w:p>
        </w:tc>
      </w:tr>
      <w:tr>
        <w:trPr>
          <w:tblHeader w:val="false"/>
        </w:trPr>
        <w:tc>
          <w:tcPr>
            <w:tcW w:type="dxa" w:w="7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2022</w:t>
            </w:r>
          </w:p>
        </w:tc>
        <w:tc>
          <w:tcPr>
            <w:tcW w:type="dxa" w:w="19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ConvNeXt [38]</w:t>
            </w:r>
          </w:p>
        </w:tc>
        <w:tc>
          <w:tcPr>
            <w:tcW w:type="dxa" w:w="3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Transformer design choices in a convolutional network</w:t>
            </w:r>
          </w:p>
        </w:tc>
        <w:tc>
          <w:tcPr>
            <w:tcW w:type="dxa" w:w="34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CPU-favourable convolutional candidate</w:t>
            </w:r>
          </w:p>
        </w:tc>
      </w:tr>
      <w:tr>
        <w:trPr>
          <w:tblHeader w:val="false"/>
        </w:trPr>
        <w:tc>
          <w:tcPr>
            <w:tcW w:type="dxa" w:w="7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2022</w:t>
            </w:r>
          </w:p>
        </w:tc>
        <w:tc>
          <w:tcPr>
            <w:tcW w:type="dxa" w:w="19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MAE [37]</w:t>
            </w:r>
          </w:p>
        </w:tc>
        <w:tc>
          <w:tcPr>
            <w:tcW w:type="dxa" w:w="3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Masked-patch reconstruction pretraining</w:t>
            </w:r>
          </w:p>
        </w:tc>
        <w:tc>
          <w:tcPr>
            <w:tcW w:type="dxa" w:w="34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Alternative self-supervised route; cheaper pretraining</w:t>
            </w:r>
          </w:p>
        </w:tc>
      </w:tr>
      <w:tr>
        <w:trPr>
          <w:tblHeader w:val="false"/>
        </w:trPr>
        <w:tc>
          <w:tcPr>
            <w:tcW w:type="dxa" w:w="7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2023</w:t>
            </w:r>
          </w:p>
        </w:tc>
        <w:tc>
          <w:tcPr>
            <w:tcW w:type="dxa" w:w="19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ConvNeXt V2 [39]</w:t>
            </w:r>
          </w:p>
        </w:tc>
        <w:tc>
          <w:tcPr>
            <w:tcW w:type="dxa" w:w="3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Masked autoencoding co-designed with the architecture</w:t>
            </w:r>
          </w:p>
        </w:tc>
        <w:tc>
          <w:tcPr>
            <w:tcW w:type="dxa" w:w="34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Fastest of the benchmarked probe backbones</w:t>
            </w:r>
          </w:p>
        </w:tc>
      </w:tr>
      <w:tr>
        <w:trPr>
          <w:tblHeader w:val="false"/>
        </w:trPr>
        <w:tc>
          <w:tcPr>
            <w:tcW w:type="dxa" w:w="7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2023</w:t>
            </w:r>
          </w:p>
        </w:tc>
        <w:tc>
          <w:tcPr>
            <w:tcW w:type="dxa" w:w="19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DINOv2 [35]</w:t>
            </w:r>
          </w:p>
        </w:tc>
        <w:tc>
          <w:tcPr>
            <w:tcW w:type="dxa" w:w="3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All-purpose features designed for linear probing</w:t>
            </w:r>
          </w:p>
        </w:tc>
        <w:tc>
          <w:tcPr>
            <w:tcW w:type="dxa" w:w="34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Primary self-supervised probe candidate</w:t>
            </w:r>
          </w:p>
        </w:tc>
      </w:tr>
      <w:tr>
        <w:trPr>
          <w:tblHeader w:val="false"/>
        </w:trPr>
        <w:tc>
          <w:tcPr>
            <w:tcW w:type="dxa" w:w="7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2023</w:t>
            </w:r>
          </w:p>
        </w:tc>
        <w:tc>
          <w:tcPr>
            <w:tcW w:type="dxa" w:w="19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SigLIP [20]</w:t>
            </w:r>
          </w:p>
        </w:tc>
        <w:tc>
          <w:tcPr>
            <w:tcW w:type="dxa" w:w="3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Pairwise sigmoid loss replaces softmax contrastive</w:t>
            </w:r>
          </w:p>
        </w:tc>
        <w:tc>
          <w:tcPr>
            <w:tcW w:type="dxa" w:w="34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Zero-shot candidate with batch-size-independent training</w:t>
            </w:r>
          </w:p>
        </w:tc>
      </w:tr>
      <w:tr>
        <w:trPr>
          <w:tblHeader w:val="false"/>
        </w:trPr>
        <w:tc>
          <w:tcPr>
            <w:tcW w:type="dxa" w:w="7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2023</w:t>
            </w:r>
          </w:p>
        </w:tc>
        <w:tc>
          <w:tcPr>
            <w:tcW w:type="dxa" w:w="19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OpenCLIP / LAION [22], [23]</w:t>
            </w:r>
          </w:p>
        </w:tc>
        <w:tc>
          <w:tcPr>
            <w:tcW w:type="dxa" w:w="3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Open reproduction with controlled pretraining corpora</w:t>
            </w:r>
          </w:p>
        </w:tc>
        <w:tc>
          <w:tcPr>
            <w:tcW w:type="dxa" w:w="34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Isolates pretraining data from architecture</w:t>
            </w:r>
          </w:p>
        </w:tc>
      </w:tr>
      <w:tr>
        <w:trPr>
          <w:tblHeader w:val="false"/>
        </w:trPr>
        <w:tc>
          <w:tcPr>
            <w:tcW w:type="dxa" w:w="7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2023</w:t>
            </w:r>
          </w:p>
        </w:tc>
        <w:tc>
          <w:tcPr>
            <w:tcW w:type="dxa" w:w="19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Florence-2 [32]</w:t>
            </w:r>
          </w:p>
        </w:tc>
        <w:tc>
          <w:tcPr>
            <w:tcW w:type="dxa" w:w="3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Unified sequence-to-sequence formulation of vision tasks</w:t>
            </w:r>
          </w:p>
        </w:tc>
        <w:tc>
          <w:tcPr>
            <w:tcW w:type="dxa" w:w="34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Structured scene attributes for review explanations</w:t>
            </w:r>
          </w:p>
        </w:tc>
      </w:tr>
      <w:tr>
        <w:trPr>
          <w:tblHeader w:val="false"/>
        </w:trPr>
        <w:tc>
          <w:tcPr>
            <w:tcW w:type="dxa" w:w="7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2024</w:t>
            </w:r>
          </w:p>
        </w:tc>
        <w:tc>
          <w:tcPr>
            <w:tcW w:type="dxa" w:w="19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Grounding DINO [60]</w:t>
            </w:r>
          </w:p>
        </w:tc>
        <w:tc>
          <w:tcPr>
            <w:tcW w:type="dxa" w:w="3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Grounded pretraining for open-set detection</w:t>
            </w:r>
          </w:p>
        </w:tc>
        <w:tc>
          <w:tcPr>
            <w:tcW w:type="dxa" w:w="34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Text-specified detection of maintenance equipment</w:t>
            </w:r>
          </w:p>
        </w:tc>
      </w:tr>
      <w:tr>
        <w:trPr>
          <w:tblHeader w:val="false"/>
        </w:trPr>
        <w:tc>
          <w:tcPr>
            <w:tcW w:type="dxa" w:w="7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2024</w:t>
            </w:r>
          </w:p>
        </w:tc>
        <w:tc>
          <w:tcPr>
            <w:tcW w:type="dxa" w:w="19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YOLO-World [59]</w:t>
            </w:r>
          </w:p>
        </w:tc>
        <w:tc>
          <w:tcPr>
            <w:tcW w:type="dxa" w:w="3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Open-vocabulary detection on a YOLO backbone</w:t>
            </w:r>
          </w:p>
        </w:tc>
        <w:tc>
          <w:tcPr>
            <w:tcW w:type="dxa" w:w="34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Second-tier branch for a class with no training data</w:t>
            </w:r>
          </w:p>
        </w:tc>
      </w:tr>
      <w:tr>
        <w:trPr>
          <w:tblHeader w:val="false"/>
        </w:trPr>
        <w:tc>
          <w:tcPr>
            <w:tcW w:type="dxa" w:w="7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2024</w:t>
            </w:r>
          </w:p>
        </w:tc>
        <w:tc>
          <w:tcPr>
            <w:tcW w:type="dxa" w:w="19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RT-DETR [58]</w:t>
            </w:r>
          </w:p>
        </w:tc>
        <w:tc>
          <w:tcPr>
            <w:tcW w:type="dxa" w:w="3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Real-time detection transformer without NMS</w:t>
            </w:r>
          </w:p>
        </w:tc>
        <w:tc>
          <w:tcPr>
            <w:tcW w:type="dxa" w:w="34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Detector alternative on the speed-accuracy frontier</w:t>
            </w:r>
          </w:p>
        </w:tc>
      </w:tr>
      <w:tr>
        <w:trPr>
          <w:tblHeader w:val="false"/>
        </w:trPr>
        <w:tc>
          <w:tcPr>
            <w:tcW w:type="dxa" w:w="7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2025</w:t>
            </w:r>
          </w:p>
        </w:tc>
        <w:tc>
          <w:tcPr>
            <w:tcW w:type="dxa" w:w="19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SigLIP 2 [21]</w:t>
            </w:r>
          </w:p>
        </w:tc>
        <w:tc>
          <w:tcPr>
            <w:tcW w:type="dxa" w:w="3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Multilingual, improved localisation and dense features</w:t>
            </w:r>
          </w:p>
        </w:tc>
        <w:tc>
          <w:tcPr>
            <w:tcW w:type="dxa" w:w="34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Strongest zero-shot candidate benchmarked</w:t>
            </w:r>
          </w:p>
        </w:tc>
      </w:tr>
      <w:tr>
        <w:trPr>
          <w:tblHeader w:val="false"/>
        </w:trPr>
        <w:tc>
          <w:tcPr>
            <w:tcW w:type="dxa" w:w="7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2025</w:t>
            </w:r>
          </w:p>
        </w:tc>
        <w:tc>
          <w:tcPr>
            <w:tcW w:type="dxa" w:w="19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DINOv3 [36]</w:t>
            </w:r>
          </w:p>
        </w:tc>
        <w:tc>
          <w:tcPr>
            <w:tcW w:type="dxa" w:w="33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Scaled continuation of the DINO recipe</w:t>
            </w:r>
          </w:p>
        </w:tc>
        <w:tc>
          <w:tcPr>
            <w:tcW w:type="dxa" w:w="34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Considered; access-gated at the time of the bake-off</w:t>
            </w:r>
          </w:p>
        </w:tc>
      </w:tr>
    </w:tbl>
    <w:p>
      <w:r>
        <w:br w:type="page"/>
      </w:r>
    </w:p>
    <w:p>
      <w:pPr>
        <w:pStyle w:val="Heading1"/>
        <w:spacing w:after="140" w:before="280"/>
      </w:pPr>
      <w:r>
        <w:rPr>
          <w:rFonts w:ascii="Times New Roman" w:cs="Times New Roman" w:eastAsia="Times New Roman" w:hAnsi="Times New Roman"/>
          <w:b/>
          <w:bCs/>
          <w:sz w:val="30"/>
          <w:szCs w:val="30"/>
        </w:rPr>
        <w:t xml:space="preserve">Appendix A  References Removed from the Original Draft</w:t>
      </w:r>
    </w:p>
    <w:p>
      <w:pPr>
        <w:spacing w:after="160" w:line="300"/>
        <w:jc w:val="both"/>
      </w:pPr>
      <w:r>
        <w:rPr>
          <w:rFonts w:ascii="Times New Roman" w:cs="Times New Roman" w:eastAsia="Times New Roman" w:hAnsi="Times New Roman"/>
          <w:sz w:val="22"/>
          <w:szCs w:val="22"/>
        </w:rPr>
        <w:t xml:space="preserve">Numbers refer to the original draft’s reference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rPr>
          <w:tblHeader/>
        </w:trPr>
        <w:tc>
          <w:tcPr>
            <w:tcW w:type="dxa" w:w="1000"/>
            <w:shd w:fill="E7E7E7" w:val="clear"/>
            <w:tcMar>
              <w:top w:type="dxa" w:w="70"/>
              <w:left w:type="dxa" w:w="100"/>
              <w:bottom w:type="dxa" w:w="70"/>
              <w:right w:type="dxa" w:w="100"/>
            </w:tcMar>
          </w:tcPr>
          <w:p>
            <w:pPr>
              <w:spacing w:after="0" w:line="250"/>
            </w:pPr>
            <w:r>
              <w:rPr>
                <w:rFonts w:ascii="Times New Roman" w:cs="Times New Roman" w:eastAsia="Times New Roman" w:hAnsi="Times New Roman"/>
                <w:b/>
                <w:bCs/>
                <w:sz w:val="18"/>
                <w:szCs w:val="18"/>
              </w:rPr>
              <w:t xml:space="preserve">Original</w:t>
            </w:r>
          </w:p>
        </w:tc>
        <w:tc>
          <w:tcPr>
            <w:tcW w:type="dxa" w:w="3600"/>
            <w:shd w:fill="E7E7E7" w:val="clear"/>
            <w:tcMar>
              <w:top w:type="dxa" w:w="70"/>
              <w:left w:type="dxa" w:w="100"/>
              <w:bottom w:type="dxa" w:w="70"/>
              <w:right w:type="dxa" w:w="100"/>
            </w:tcMar>
          </w:tcPr>
          <w:p>
            <w:pPr>
              <w:spacing w:after="0" w:line="250"/>
            </w:pPr>
            <w:r>
              <w:rPr>
                <w:rFonts w:ascii="Times New Roman" w:cs="Times New Roman" w:eastAsia="Times New Roman" w:hAnsi="Times New Roman"/>
                <w:b/>
                <w:bCs/>
                <w:sz w:val="18"/>
                <w:szCs w:val="18"/>
              </w:rPr>
              <w:t xml:space="preserve">Work</w:t>
            </w:r>
          </w:p>
        </w:tc>
        <w:tc>
          <w:tcPr>
            <w:tcW w:type="dxa" w:w="4760"/>
            <w:shd w:fill="E7E7E7" w:val="clear"/>
            <w:tcMar>
              <w:top w:type="dxa" w:w="70"/>
              <w:left w:type="dxa" w:w="100"/>
              <w:bottom w:type="dxa" w:w="70"/>
              <w:right w:type="dxa" w:w="100"/>
            </w:tcMar>
          </w:tcPr>
          <w:p>
            <w:pPr>
              <w:spacing w:after="0" w:line="250"/>
            </w:pPr>
            <w:r>
              <w:rPr>
                <w:rFonts w:ascii="Times New Roman" w:cs="Times New Roman" w:eastAsia="Times New Roman" w:hAnsi="Times New Roman"/>
                <w:b/>
                <w:bCs/>
                <w:sz w:val="18"/>
                <w:szCs w:val="18"/>
              </w:rPr>
              <w:t xml:space="preserve">Reason for removal</w:t>
            </w:r>
          </w:p>
        </w:tc>
      </w:tr>
      <w:tr>
        <w:trPr>
          <w:tblHeader w:val="false"/>
        </w:trPr>
        <w:tc>
          <w:tcPr>
            <w:tcW w:type="dxa" w:w="10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12, 26, 57</w:t>
            </w:r>
          </w:p>
        </w:tc>
        <w:tc>
          <w:tcPr>
            <w:tcW w:type="dxa" w:w="36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LangOcc; SparseOccVLA; ReliOcc</w:t>
            </w:r>
          </w:p>
        </w:tc>
        <w:tc>
          <w:tcPr>
            <w:tcW w:type="dxa" w:w="47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Terminology collision. These concern 3D voxel occupancy prediction for autonomous driving, not venue or room occupancy. They cannot support any claim in this chapter.</w:t>
            </w:r>
          </w:p>
        </w:tc>
      </w:tr>
      <w:tr>
        <w:trPr>
          <w:tblHeader w:val="false"/>
        </w:trPr>
        <w:tc>
          <w:tcPr>
            <w:tcW w:type="dxa" w:w="10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63</w:t>
            </w:r>
          </w:p>
        </w:tc>
        <w:tc>
          <w:tcPr>
            <w:tcW w:type="dxa" w:w="36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SLAP: Shortcut Learning for Abstract Planning</w:t>
            </w:r>
          </w:p>
        </w:tc>
        <w:tc>
          <w:tcPr>
            <w:tcW w:type="dxa" w:w="47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Terminology collision. Concerns macro-action shortcuts in symbolic task planning, not spurious correlation in classifiers. It was the only citation supporting the shortcut-learning section.</w:t>
            </w:r>
          </w:p>
        </w:tc>
      </w:tr>
      <w:tr>
        <w:trPr>
          <w:tblHeader w:val="false"/>
        </w:trPr>
        <w:tc>
          <w:tcPr>
            <w:tcW w:type="dxa" w:w="10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1, 3, 9, 17, 54, 66</w:t>
            </w:r>
          </w:p>
        </w:tc>
        <w:tc>
          <w:tcPr>
            <w:tcW w:type="dxa" w:w="36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CLIP on Wheels; CLIP-Nav; point-cloud segmentation; robotic tool identification; CLIP goes 3D; Grasp-HGN</w:t>
            </w:r>
          </w:p>
        </w:tc>
        <w:tc>
          <w:tcPr>
            <w:tcW w:type="dxa" w:w="47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Robotics and 3D domains. Used in the draft as stand-ins for foundational CLIP and mixture-of-experts citations; replaced by the primary sources.</w:t>
            </w:r>
          </w:p>
        </w:tc>
      </w:tr>
      <w:tr>
        <w:trPr>
          <w:tblHeader w:val="false"/>
        </w:trPr>
        <w:tc>
          <w:tcPr>
            <w:tcW w:type="dxa" w:w="10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30, 32, 33, 34, 35, 37, 42, 71, 74, 75</w:t>
            </w:r>
          </w:p>
        </w:tc>
        <w:tc>
          <w:tcPr>
            <w:tcW w:type="dxa" w:w="36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Sports-field registration, player tracking, goal-position estimation, athlete rating and YOLO match-analysis papers</w:t>
            </w:r>
          </w:p>
        </w:tc>
        <w:tc>
          <w:tcPr>
            <w:tcW w:type="dxa" w:w="47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Excluded scope. These are player-level and broadcast sports analysis, used in the draft as supporting evidence rather than scope demarcation. Four demarcation citations are retained in Section 2.1.</w:t>
            </w:r>
          </w:p>
        </w:tc>
      </w:tr>
      <w:tr>
        <w:trPr>
          <w:tblHeader w:val="false"/>
        </w:trPr>
        <w:tc>
          <w:tcPr>
            <w:tcW w:type="dxa" w:w="10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5, 15, 18, 20, 19, 28, 31, 52, 60, 65</w:t>
            </w:r>
          </w:p>
        </w:tc>
        <w:tc>
          <w:tcPr>
            <w:tcW w:type="dxa" w:w="36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Assorted VLM and video papers used as generic support</w:t>
            </w:r>
          </w:p>
        </w:tc>
        <w:tc>
          <w:tcPr>
            <w:tcW w:type="dxa" w:w="47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Either off-domain, or attached to claims they do not establish. Three were retained where the claim was rewritten to match the source.</w:t>
            </w:r>
          </w:p>
        </w:tc>
      </w:tr>
      <w:tr>
        <w:trPr>
          <w:tblHeader w:val="false"/>
        </w:trPr>
        <w:tc>
          <w:tcPr>
            <w:tcW w:type="dxa" w:w="10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50, 79</w:t>
            </w:r>
          </w:p>
        </w:tc>
        <w:tc>
          <w:tcPr>
            <w:tcW w:type="dxa" w:w="36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IoT security thesis; GameVibes vibration monitoring</w:t>
            </w:r>
          </w:p>
        </w:tc>
        <w:tc>
          <w:tcPr>
            <w:tcW w:type="dxa" w:w="47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GameVibes is retained in Section 2.2 as a non-visual sports-venue modality. The IoT security thesis does not support the reconciliation claim it was attached to.</w:t>
            </w:r>
          </w:p>
        </w:tc>
      </w:tr>
      <w:tr>
        <w:trPr>
          <w:tblHeader w:val="false"/>
        </w:trPr>
        <w:tc>
          <w:tcPr>
            <w:tcW w:type="dxa" w:w="10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67, 68</w:t>
            </w:r>
          </w:p>
        </w:tc>
        <w:tc>
          <w:tcPr>
            <w:tcW w:type="dxa" w:w="360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TerraGen; AeroGen</w:t>
            </w:r>
          </w:p>
        </w:tc>
        <w:tc>
          <w:tcPr>
            <w:tcW w:type="dxa" w:w="4760"/>
            <w:tcMar>
              <w:top w:type="dxa" w:w="70"/>
              <w:left w:type="dxa" w:w="100"/>
              <w:bottom w:type="dxa" w:w="70"/>
              <w:right w:type="dxa" w:w="100"/>
            </w:tcMar>
          </w:tcPr>
          <w:p>
            <w:pPr>
              <w:spacing w:after="0" w:line="250"/>
            </w:pPr>
            <w:r>
              <w:rPr>
                <w:rFonts w:ascii="Times New Roman" w:cs="Times New Roman" w:eastAsia="Times New Roman" w:hAnsi="Times New Roman"/>
                <w:b w:val="false"/>
                <w:bCs w:val="false"/>
                <w:sz w:val="18"/>
                <w:szCs w:val="18"/>
              </w:rPr>
              <w:t xml:space="preserve">Retained, but explicitly relabelled as remote-sensing analogues rather than direct precedents.</w:t>
            </w:r>
          </w:p>
        </w:tc>
      </w:tr>
    </w:tbl>
    <w:p>
      <w:pPr>
        <w:spacing w:after="200" w:line="300"/>
        <w:jc w:val="both"/>
      </w:pPr>
      <w:r>
        <w:rPr>
          <w:rFonts w:ascii="Times New Roman" w:cs="Times New Roman" w:eastAsia="Times New Roman" w:hAnsi="Times New Roman"/>
          <w:sz w:val="22"/>
          <w:szCs w:val="22"/>
        </w:rPr>
        <w:t xml:space="preserve"/>
      </w:r>
    </w:p>
    <w:p>
      <w:pPr>
        <w:pStyle w:val="Heading1"/>
        <w:spacing w:after="140" w:before="280"/>
      </w:pPr>
      <w:r>
        <w:rPr>
          <w:rFonts w:ascii="Times New Roman" w:cs="Times New Roman" w:eastAsia="Times New Roman" w:hAnsi="Times New Roman"/>
          <w:b/>
          <w:bCs/>
          <w:sz w:val="30"/>
          <w:szCs w:val="30"/>
        </w:rPr>
        <w:t xml:space="preserve">Appendix B  References Added, Requiring Identifier Verification</w:t>
      </w:r>
    </w:p>
    <w:p>
      <w:pPr>
        <w:spacing w:after="160" w:line="300"/>
        <w:jc w:val="both"/>
      </w:pPr>
      <w:r>
        <w:rPr>
          <w:rFonts w:ascii="Times New Roman" w:cs="Times New Roman" w:eastAsia="Times New Roman" w:hAnsi="Times New Roman"/>
          <w:sz w:val="22"/>
          <w:szCs w:val="22"/>
        </w:rPr>
        <w:t xml:space="preserve">Every reference marked with a dagger in the list below was supplied from domain knowledge rather than retrieved from a bibliographic database. The authors, titles, venues and years are reliable; the exact DOI or arXiv identifier should be confirmed against Crossref or arXiv before submission, and the entry should be re-exported from the publisher record rather than retyped. Five references retained from the original draft carry 2026 dates and should also be re-checked, since preprint records from the last few months are still settling.</w:t>
      </w:r>
    </w:p>
    <w:p>
      <w:pPr>
        <w:spacing w:after="160" w:line="300"/>
        <w:jc w:val="both"/>
      </w:pPr>
      <w:r>
        <w:rPr>
          <w:rFonts w:ascii="Times New Roman" w:cs="Times New Roman" w:eastAsia="Times New Roman" w:hAnsi="Times New Roman"/>
          <w:sz w:val="22"/>
          <w:szCs w:val="22"/>
        </w:rPr>
        <w:t xml:space="preserve">These additions fall into four groups. Foundational architecture and pretraining papers for every model in the candidate pool, which the original draft omitted entirely. The shortcut-learning and spurious-correlation literature, including the clinical site-confounding studies that are the closest analogue to a single-venue occupancy dataset. The evaluation-methodology literature covering leakage, near-duplicate contamination, calibration, selective prediction and statistical comparison of classifiers. And the sequence-modelling, conditional-computation, distillation and annotation-quality references needed to support Sections 2.7 to 2.9.</w:t>
      </w:r>
    </w:p>
    <w:p>
      <w:r>
        <w:br w:type="page"/>
      </w:r>
    </w:p>
    <w:p>
      <w:pPr>
        <w:pStyle w:val="Heading1"/>
        <w:spacing w:after="140" w:before="280"/>
      </w:pPr>
      <w:r>
        <w:rPr>
          <w:rFonts w:ascii="Times New Roman" w:cs="Times New Roman" w:eastAsia="Times New Roman" w:hAnsi="Times New Roman"/>
          <w:b/>
          <w:bCs/>
          <w:sz w:val="30"/>
          <w:szCs w:val="30"/>
        </w:rPr>
        <w:t xml:space="preserve">References</w:t>
      </w:r>
    </w:p>
    <w:p>
      <w:pPr>
        <w:spacing w:after="200" w:line="300"/>
        <w:jc w:val="both"/>
      </w:pPr>
      <w:r>
        <w:rPr>
          <w:rFonts w:ascii="Times New Roman" w:cs="Times New Roman" w:eastAsia="Times New Roman" w:hAnsi="Times New Roman"/>
          <w:i/>
          <w:iCs/>
          <w:sz w:val="22"/>
          <w:szCs w:val="22"/>
        </w:rPr>
        <w:t xml:space="preserve">References marked † were added during revision; confirm the identifier before submission (see Appendix B).</w:t>
      </w:r>
    </w:p>
    <w:p>
      <w:pPr>
        <w:spacing w:after="110" w:line="260"/>
        <w:ind w:left="560" w:hanging="560"/>
      </w:pPr>
      <w:r>
        <w:rPr>
          <w:rFonts w:ascii="Times New Roman" w:cs="Times New Roman" w:eastAsia="Times New Roman" w:hAnsi="Times New Roman"/>
          <w:sz w:val="20"/>
          <w:szCs w:val="20"/>
        </w:rPr>
        <w:t xml:space="preserve">[1]  F. J. Zheng, D. Z. Al-Hamid, P. H. J. Chong, C. Yang, and X. J. Li, "A Review of Computer Vision Technology for Football Videos," Information, vol. 16, no. 5, p. 355, Apr. 2025, doi: 10.3390/info16050355.</w:t>
      </w:r>
    </w:p>
    <w:p>
      <w:pPr>
        <w:spacing w:after="110" w:line="260"/>
        <w:ind w:left="560" w:hanging="560"/>
      </w:pPr>
      <w:r>
        <w:rPr>
          <w:rFonts w:ascii="Times New Roman" w:cs="Times New Roman" w:eastAsia="Times New Roman" w:hAnsi="Times New Roman"/>
          <w:sz w:val="20"/>
          <w:szCs w:val="20"/>
        </w:rPr>
        <w:t xml:space="preserve">[2]  S. Giancola et al., "SoccerNet 2025 Challenges Results," arXiv:2508.19182, Aug. 2025, doi: 10.48550/arxiv.2508.19182.</w:t>
      </w:r>
    </w:p>
    <w:p>
      <w:pPr>
        <w:spacing w:after="110" w:line="260"/>
        <w:ind w:left="560" w:hanging="560"/>
      </w:pPr>
      <w:r>
        <w:rPr>
          <w:rFonts w:ascii="Times New Roman" w:cs="Times New Roman" w:eastAsia="Times New Roman" w:hAnsi="Times New Roman"/>
          <w:sz w:val="20"/>
          <w:szCs w:val="20"/>
        </w:rPr>
        <w:t xml:space="preserve">[3]  F. Vidal-Codina, N. Evans, B. E. Fakir, and J. Billingham, "Automatic event detection in football using tracking data," Sports Engineering, vol. 25, no. 1, Sept. 2022, doi: 10.1007/s12283-022-00381-6.</w:t>
      </w:r>
    </w:p>
    <w:p>
      <w:pPr>
        <w:spacing w:after="110" w:line="260"/>
        <w:ind w:left="560" w:hanging="560"/>
      </w:pPr>
      <w:r>
        <w:rPr>
          <w:rFonts w:ascii="Times New Roman" w:cs="Times New Roman" w:eastAsia="Times New Roman" w:hAnsi="Times New Roman"/>
          <w:sz w:val="20"/>
          <w:szCs w:val="20"/>
        </w:rPr>
        <w:t xml:space="preserve">[4]  Z. L. Crang et al., "Concurrent validity of computer-vision artificial intelligence player tracking software using broadcast footage," arXiv:2508.19477, Aug. 2025, doi: 10.48550/arxiv.2508.19477.</w:t>
      </w:r>
    </w:p>
    <w:p>
      <w:pPr>
        <w:spacing w:after="110" w:line="260"/>
        <w:ind w:left="560" w:hanging="560"/>
      </w:pPr>
      <w:r>
        <w:rPr>
          <w:rFonts w:ascii="Times New Roman" w:cs="Times New Roman" w:eastAsia="Times New Roman" w:hAnsi="Times New Roman"/>
          <w:sz w:val="20"/>
          <w:szCs w:val="20"/>
        </w:rPr>
        <w:t xml:space="preserve">[5]  W. Zhang, "A review on occupancy prediction through machine learning for enhancing energy efficiency, air quality and thermal comfort in the built environment," Renewable and Sustainable Energy Reviews, vol. 167, p. 112704, Oct. 2022, doi: 10.1016/j.rser.2022.112704.</w:t>
      </w:r>
    </w:p>
    <w:p>
      <w:pPr>
        <w:spacing w:after="110" w:line="260"/>
        <w:ind w:left="560" w:hanging="560"/>
      </w:pPr>
      <w:r>
        <w:rPr>
          <w:rFonts w:ascii="Times New Roman" w:cs="Times New Roman" w:eastAsia="Times New Roman" w:hAnsi="Times New Roman"/>
          <w:sz w:val="20"/>
          <w:szCs w:val="20"/>
        </w:rPr>
        <w:t xml:space="preserve">[6]  C. Gross, R. Borrison, J. Schmitt, and M. Aleksy, "Towards an Occupancy Count Functionality for Smart Buildings - An Industrial Perspective," in IEEE IESES, Sept. 2020, doi: 10.1109/IESES45645.2020.9210641.</w:t>
      </w:r>
    </w:p>
    <w:p>
      <w:pPr>
        <w:spacing w:after="110" w:line="260"/>
        <w:ind w:left="560" w:hanging="560"/>
      </w:pPr>
      <w:r>
        <w:rPr>
          <w:rFonts w:ascii="Times New Roman" w:cs="Times New Roman" w:eastAsia="Times New Roman" w:hAnsi="Times New Roman"/>
          <w:sz w:val="20"/>
          <w:szCs w:val="20"/>
        </w:rPr>
        <w:t xml:space="preserve">[7]  D. Fahrmann, F. Boutros, P. Kubon, F. Kirchbuchner, A. Kuijper, and N. Damer, "Ubiquitous multi-occupant detection in smart environments," Neural Computing and Applications, vol. 36, pp. 2941-2960, Nov. 2023, doi: 10.1007/s00521-023-09162-z.</w:t>
      </w:r>
    </w:p>
    <w:p>
      <w:pPr>
        <w:spacing w:after="110" w:line="260"/>
        <w:ind w:left="560" w:hanging="560"/>
      </w:pPr>
      <w:r>
        <w:rPr>
          <w:rFonts w:ascii="Times New Roman" w:cs="Times New Roman" w:eastAsia="Times New Roman" w:hAnsi="Times New Roman"/>
          <w:sz w:val="20"/>
          <w:szCs w:val="20"/>
        </w:rPr>
        <w:t xml:space="preserve">[8]  S. Wei, P. W. Tien, T. Chow, Y. Wu, and J. K. Calautit, "Deep learning and computer vision based occupancy CO2 level prediction for demand-controlled ventilation (DCV)," Journal of Building Engineering, vol. 56, p. 104715, May 2022, doi: 10.1016/j.jobe.2022.104715.</w:t>
      </w:r>
    </w:p>
    <w:p>
      <w:pPr>
        <w:spacing w:after="110" w:line="260"/>
        <w:ind w:left="560" w:hanging="560"/>
      </w:pPr>
      <w:r>
        <w:rPr>
          <w:rFonts w:ascii="Times New Roman" w:cs="Times New Roman" w:eastAsia="Times New Roman" w:hAnsi="Times New Roman"/>
          <w:sz w:val="20"/>
          <w:szCs w:val="20"/>
        </w:rPr>
        <w:t xml:space="preserve">[9]  V.-D. Stanciu, M. van Steen, C. Dobre, and A. Peter, "k-Anonymous Crowd Flow Analytics," in MobiQuitous, Dec. 2020, pp. 376-385, doi: 10.1145/3448891.3448903.</w:t>
      </w:r>
    </w:p>
    <w:p>
      <w:pPr>
        <w:spacing w:after="110" w:line="260"/>
        <w:ind w:left="560" w:hanging="560"/>
      </w:pPr>
      <w:r>
        <w:rPr>
          <w:rFonts w:ascii="Times New Roman" w:cs="Times New Roman" w:eastAsia="Times New Roman" w:hAnsi="Times New Roman"/>
          <w:sz w:val="20"/>
          <w:szCs w:val="20"/>
        </w:rPr>
        <w:t xml:space="preserve">[10]  V.-D. Stanciu, M. van Steen, C. Dobre, and A. Peter, "Privacy-Preserving Crowd-Monitoring Using Bloom Filters and Homomorphic Encryption," in EdgeSys, Apr. 2021, pp. 37-42, doi: 10.1145/3434770.3459735.</w:t>
      </w:r>
    </w:p>
    <w:p>
      <w:pPr>
        <w:spacing w:after="110" w:line="260"/>
        <w:ind w:left="560" w:hanging="560"/>
      </w:pPr>
      <w:r>
        <w:rPr>
          <w:rFonts w:ascii="Times New Roman" w:cs="Times New Roman" w:eastAsia="Times New Roman" w:hAnsi="Times New Roman"/>
          <w:sz w:val="20"/>
          <w:szCs w:val="20"/>
        </w:rPr>
        <w:t xml:space="preserve">[11]  "Monitoring Large Crowds With WiFi: A Privacy-Preserving Approach," IEEE Systems Journal, vol. 16, no. 2, pp. 2148-2159, June 2022, doi: 10.1109/jsyst.2021.3139756.</w:t>
      </w:r>
    </w:p>
    <w:p>
      <w:pPr>
        <w:spacing w:after="110" w:line="260"/>
        <w:ind w:left="560" w:hanging="560"/>
      </w:pPr>
      <w:r>
        <w:rPr>
          <w:rFonts w:ascii="Times New Roman" w:cs="Times New Roman" w:eastAsia="Times New Roman" w:hAnsi="Times New Roman"/>
          <w:sz w:val="20"/>
          <w:szCs w:val="20"/>
        </w:rPr>
        <w:t xml:space="preserve">[12]  Y. Wang and L. Shao, "Understanding occupancy and user behaviour through Wi-Fi based indoor positioning," Building Research and Information, vol. 46, no. 7, pp. 725-737, Oct. 2018, doi: 10.1080/09613218.2018.1378498.</w:t>
      </w:r>
    </w:p>
    <w:p>
      <w:pPr>
        <w:spacing w:after="110" w:line="260"/>
        <w:ind w:left="560" w:hanging="560"/>
      </w:pPr>
      <w:r>
        <w:rPr>
          <w:rFonts w:ascii="Times New Roman" w:cs="Times New Roman" w:eastAsia="Times New Roman" w:hAnsi="Times New Roman"/>
          <w:sz w:val="20"/>
          <w:szCs w:val="20"/>
        </w:rPr>
        <w:t xml:space="preserve">[13]  C. Xue, Z. V. Gbouna, and L. Minhyun, "A computer vision-based model for occupancy detection using low-resolution thermal images," arXiv:2505.08336, May 2025, doi: 10.48550/arxiv.2505.08336.</w:t>
      </w:r>
    </w:p>
    <w:p>
      <w:pPr>
        <w:spacing w:after="110" w:line="260"/>
        <w:ind w:left="560" w:hanging="560"/>
      </w:pPr>
      <w:r>
        <w:rPr>
          <w:rFonts w:ascii="Times New Roman" w:cs="Times New Roman" w:eastAsia="Times New Roman" w:hAnsi="Times New Roman"/>
          <w:sz w:val="20"/>
          <w:szCs w:val="20"/>
        </w:rPr>
        <w:t xml:space="preserve">[14]  Y. Dong et al., "GameVibes: Vibration-based Crowd Monitoring for Sports Games through Audience-Game-Facility Association Modeling," in SenSys, Nov. 2023, pp. 177-188, doi: 10.1145/3600100.3623750.</w:t>
      </w:r>
    </w:p>
    <w:p>
      <w:pPr>
        <w:spacing w:after="110" w:line="260"/>
        <w:ind w:left="560" w:hanging="560"/>
      </w:pPr>
      <w:r>
        <w:rPr>
          <w:rFonts w:ascii="Times New Roman" w:cs="Times New Roman" w:eastAsia="Times New Roman" w:hAnsi="Times New Roman"/>
          <w:sz w:val="20"/>
          <w:szCs w:val="20"/>
        </w:rPr>
        <w:t xml:space="preserve">[15]  J. Chen and D.-Y. Zhang, "Design of IoT-Based Crowd Flow Monitoring System for Smart Sports Venues," Advances in Transdisciplinary Engineering, June 2025, doi: 10.3233/atde250236.</w:t>
      </w:r>
    </w:p>
    <w:p>
      <w:pPr>
        <w:spacing w:after="110" w:line="260"/>
        <w:ind w:left="560" w:hanging="560"/>
      </w:pPr>
      <w:r>
        <w:rPr>
          <w:rFonts w:ascii="Times New Roman" w:cs="Times New Roman" w:eastAsia="Times New Roman" w:hAnsi="Times New Roman"/>
          <w:sz w:val="20"/>
          <w:szCs w:val="20"/>
        </w:rPr>
        <w:t xml:space="preserve">[16]  A. Sattarzadeh, "Destination-Based People Counting via Full-Cross Line Analysis Using a CPU-Friendly OpenCV-ONNX Pipeline," Preprints, Oct. 2025, doi: 10.20944/preprints202510.2278.v1.</w:t>
      </w:r>
    </w:p>
    <w:p>
      <w:pPr>
        <w:spacing w:after="110" w:line="260"/>
        <w:ind w:left="560" w:hanging="560"/>
      </w:pPr>
      <w:r>
        <w:rPr>
          <w:rFonts w:ascii="Times New Roman" w:cs="Times New Roman" w:eastAsia="Times New Roman" w:hAnsi="Times New Roman"/>
          <w:sz w:val="20"/>
          <w:szCs w:val="20"/>
        </w:rPr>
        <w:t xml:space="preserve">[17]  S. Munir et al., "Real-Time Fine Grained Occupancy Estimation Using Depth Sensors on ARM Embedded Platforms," in IEEE RTAS, Apr. 2017, pp. 295-306, doi: 10.1109/RTAS.2017.8.</w:t>
      </w:r>
    </w:p>
    <w:p>
      <w:pPr>
        <w:spacing w:after="110" w:line="260"/>
        <w:ind w:left="560" w:hanging="560"/>
      </w:pPr>
      <w:r>
        <w:rPr>
          <w:rFonts w:ascii="Times New Roman" w:cs="Times New Roman" w:eastAsia="Times New Roman" w:hAnsi="Times New Roman"/>
          <w:sz w:val="20"/>
          <w:szCs w:val="20"/>
        </w:rPr>
        <w:t xml:space="preserve">[18]  P. Maheshwari, D. Alex, S. Banerjee, S. Behera, and S. Panda, "Top View Person Detection and Counting for Low Compute Embedded Platforms," Dec. 2018, pp. 35-43, doi: 10.1145/3301506.3301548.</w:t>
      </w:r>
    </w:p>
    <w:p>
      <w:pPr>
        <w:spacing w:after="110" w:line="260"/>
        <w:ind w:left="560" w:hanging="560"/>
      </w:pPr>
      <w:r>
        <w:rPr>
          <w:rFonts w:ascii="Times New Roman" w:cs="Times New Roman" w:eastAsia="Times New Roman" w:hAnsi="Times New Roman"/>
          <w:sz w:val="20"/>
          <w:szCs w:val="20"/>
        </w:rPr>
        <w:t xml:space="preserve">[19]  A. Radford et al., "Learning Transferable Visual Models From Natural Language Supervision," in ICML, 2021, arXiv:2103.00020.  †</w:t>
      </w:r>
    </w:p>
    <w:p>
      <w:pPr>
        <w:spacing w:after="110" w:line="260"/>
        <w:ind w:left="560" w:hanging="560"/>
      </w:pPr>
      <w:r>
        <w:rPr>
          <w:rFonts w:ascii="Times New Roman" w:cs="Times New Roman" w:eastAsia="Times New Roman" w:hAnsi="Times New Roman"/>
          <w:sz w:val="20"/>
          <w:szCs w:val="20"/>
        </w:rPr>
        <w:t xml:space="preserve">[20]  X. Zhai, B. Mustafa, A. Kolesnikov, and L. Beyer, "Sigmoid Loss for Language Image Pre-Training," in ICCV, 2023, arXiv:2303.15343.</w:t>
      </w:r>
    </w:p>
    <w:p>
      <w:pPr>
        <w:spacing w:after="110" w:line="260"/>
        <w:ind w:left="560" w:hanging="560"/>
      </w:pPr>
      <w:r>
        <w:rPr>
          <w:rFonts w:ascii="Times New Roman" w:cs="Times New Roman" w:eastAsia="Times New Roman" w:hAnsi="Times New Roman"/>
          <w:sz w:val="20"/>
          <w:szCs w:val="20"/>
        </w:rPr>
        <w:t xml:space="preserve">[21]  M. Tschannen et al., "SigLIP 2: Multilingual Vision-Language Encoders with Improved Semantic Understanding, Localization, and Dense Features," arXiv:2502.14786, Feb. 2025.</w:t>
      </w:r>
    </w:p>
    <w:p>
      <w:pPr>
        <w:spacing w:after="110" w:line="260"/>
        <w:ind w:left="560" w:hanging="560"/>
      </w:pPr>
      <w:r>
        <w:rPr>
          <w:rFonts w:ascii="Times New Roman" w:cs="Times New Roman" w:eastAsia="Times New Roman" w:hAnsi="Times New Roman"/>
          <w:sz w:val="20"/>
          <w:szCs w:val="20"/>
        </w:rPr>
        <w:t xml:space="preserve">[22]  M. Cherti et al., "Reproducible Scaling Laws for Contrastive Language-Image Learning," in CVPR, 2023, arXiv:2212.07143.  †</w:t>
      </w:r>
    </w:p>
    <w:p>
      <w:pPr>
        <w:spacing w:after="110" w:line="260"/>
        <w:ind w:left="560" w:hanging="560"/>
      </w:pPr>
      <w:r>
        <w:rPr>
          <w:rFonts w:ascii="Times New Roman" w:cs="Times New Roman" w:eastAsia="Times New Roman" w:hAnsi="Times New Roman"/>
          <w:sz w:val="20"/>
          <w:szCs w:val="20"/>
        </w:rPr>
        <w:t xml:space="preserve">[23]  C. Schuhmann et al., "LAION-5B: An Open Large-Scale Dataset for Training Next Generation Image-Text Models," in NeurIPS Datasets and Benchmarks, 2022, arXiv:2210.08402.  †</w:t>
      </w:r>
    </w:p>
    <w:p>
      <w:pPr>
        <w:spacing w:after="110" w:line="260"/>
        <w:ind w:left="560" w:hanging="560"/>
      </w:pPr>
      <w:r>
        <w:rPr>
          <w:rFonts w:ascii="Times New Roman" w:cs="Times New Roman" w:eastAsia="Times New Roman" w:hAnsi="Times New Roman"/>
          <w:sz w:val="20"/>
          <w:szCs w:val="20"/>
        </w:rPr>
        <w:t xml:space="preserve">[24]  S. Y. Gadre et al., "DataComp: In Search of the Next Generation of Multimodal Datasets," in NeurIPS Datasets and Benchmarks, 2023, arXiv:2304.14108.  †</w:t>
      </w:r>
    </w:p>
    <w:p>
      <w:pPr>
        <w:spacing w:after="110" w:line="260"/>
        <w:ind w:left="560" w:hanging="560"/>
      </w:pPr>
      <w:r>
        <w:rPr>
          <w:rFonts w:ascii="Times New Roman" w:cs="Times New Roman" w:eastAsia="Times New Roman" w:hAnsi="Times New Roman"/>
          <w:sz w:val="20"/>
          <w:szCs w:val="20"/>
        </w:rPr>
        <w:t xml:space="preserve">[25]  A. O. Tur et al., "Exploring Fine-grained Retail Product Discrimination with Zero-shot Object Classification Using Vision-Language Models," arXiv:2409.14963, Sept. 2024.</w:t>
      </w:r>
    </w:p>
    <w:p>
      <w:pPr>
        <w:spacing w:after="110" w:line="260"/>
        <w:ind w:left="560" w:hanging="560"/>
      </w:pPr>
      <w:r>
        <w:rPr>
          <w:rFonts w:ascii="Times New Roman" w:cs="Times New Roman" w:eastAsia="Times New Roman" w:hAnsi="Times New Roman"/>
          <w:sz w:val="20"/>
          <w:szCs w:val="20"/>
        </w:rPr>
        <w:t xml:space="preserve">[26]  "Challenges of Zero-Shot Recognition with Vision-Language Models: Granularity and Correctness," arXiv:2306.16048, June 2023.</w:t>
      </w:r>
    </w:p>
    <w:p>
      <w:pPr>
        <w:spacing w:after="110" w:line="260"/>
        <w:ind w:left="560" w:hanging="560"/>
      </w:pPr>
      <w:r>
        <w:rPr>
          <w:rFonts w:ascii="Times New Roman" w:cs="Times New Roman" w:eastAsia="Times New Roman" w:hAnsi="Times New Roman"/>
          <w:sz w:val="20"/>
          <w:szCs w:val="20"/>
        </w:rPr>
        <w:t xml:space="preserve">[27]  J. E. van Woerden et al., "Occlusion Robustness of CLIP for Military Vehicle Classification," arXiv:2508.20760, Aug. 2025.</w:t>
      </w:r>
    </w:p>
    <w:p>
      <w:pPr>
        <w:spacing w:after="110" w:line="260"/>
        <w:ind w:left="560" w:hanging="560"/>
      </w:pPr>
      <w:r>
        <w:rPr>
          <w:rFonts w:ascii="Times New Roman" w:cs="Times New Roman" w:eastAsia="Times New Roman" w:hAnsi="Times New Roman"/>
          <w:sz w:val="20"/>
          <w:szCs w:val="20"/>
        </w:rPr>
        <w:t xml:space="preserve">[28]  M. Cristian and D. Justin, "Evaluation of Vision-LLMs in Surveillance Video," arXiv:2510.23190, Oct. 2025.</w:t>
      </w:r>
    </w:p>
    <w:p>
      <w:pPr>
        <w:spacing w:after="110" w:line="260"/>
        <w:ind w:left="560" w:hanging="560"/>
      </w:pPr>
      <w:r>
        <w:rPr>
          <w:rFonts w:ascii="Times New Roman" w:cs="Times New Roman" w:eastAsia="Times New Roman" w:hAnsi="Times New Roman"/>
          <w:sz w:val="20"/>
          <w:szCs w:val="20"/>
        </w:rPr>
        <w:t xml:space="preserve">[29]  N. Dall’Asen, Y. Wang, E. Fini, and E. Ricci, "Retrieval-enriched zero-shot image classification in low-resource domains," arXiv:2411.00988, Nov. 2024.</w:t>
      </w:r>
    </w:p>
    <w:p>
      <w:pPr>
        <w:spacing w:after="110" w:line="260"/>
        <w:ind w:left="560" w:hanging="560"/>
      </w:pPr>
      <w:r>
        <w:rPr>
          <w:rFonts w:ascii="Times New Roman" w:cs="Times New Roman" w:eastAsia="Times New Roman" w:hAnsi="Times New Roman"/>
          <w:sz w:val="20"/>
          <w:szCs w:val="20"/>
        </w:rPr>
        <w:t xml:space="preserve">[30]  T. Mostafa, "Zero-Shot Robustness of Vision Language Models Via Confidence-Aware Weighting," arXiv:2510.02913, Oct. 2025.</w:t>
      </w:r>
    </w:p>
    <w:p>
      <w:pPr>
        <w:spacing w:after="110" w:line="260"/>
        <w:ind w:left="560" w:hanging="560"/>
      </w:pPr>
      <w:r>
        <w:rPr>
          <w:rFonts w:ascii="Times New Roman" w:cs="Times New Roman" w:eastAsia="Times New Roman" w:hAnsi="Times New Roman"/>
          <w:sz w:val="20"/>
          <w:szCs w:val="20"/>
        </w:rPr>
        <w:t xml:space="preserve">[31]  C. Guo, G. Pleiss, Y. Sun, and K. Q. Weinberger, "On Calibration of Modern Neural Networks," in ICML, 2017, arXiv:1706.04599.  †</w:t>
      </w:r>
    </w:p>
    <w:p>
      <w:pPr>
        <w:spacing w:after="110" w:line="260"/>
        <w:ind w:left="560" w:hanging="560"/>
      </w:pPr>
      <w:r>
        <w:rPr>
          <w:rFonts w:ascii="Times New Roman" w:cs="Times New Roman" w:eastAsia="Times New Roman" w:hAnsi="Times New Roman"/>
          <w:sz w:val="20"/>
          <w:szCs w:val="20"/>
        </w:rPr>
        <w:t xml:space="preserve">[32]  B. Xiao et al., "Florence-2: Advancing a Unified Representation for a Variety of Vision Tasks," arXiv:2311.06242, Nov. 2023.</w:t>
      </w:r>
    </w:p>
    <w:p>
      <w:pPr>
        <w:spacing w:after="110" w:line="260"/>
        <w:ind w:left="560" w:hanging="560"/>
      </w:pPr>
      <w:r>
        <w:rPr>
          <w:rFonts w:ascii="Times New Roman" w:cs="Times New Roman" w:eastAsia="Times New Roman" w:hAnsi="Times New Roman"/>
          <w:sz w:val="20"/>
          <w:szCs w:val="20"/>
        </w:rPr>
        <w:t xml:space="preserve">[33]  A. Dosovitskiy et al., "An Image is Worth 16x16 Words: Transformers for Image Recognition at Scale," in ICLR, 2021, arXiv:2010.11929.  †</w:t>
      </w:r>
    </w:p>
    <w:p>
      <w:pPr>
        <w:spacing w:after="110" w:line="260"/>
        <w:ind w:left="560" w:hanging="560"/>
      </w:pPr>
      <w:r>
        <w:rPr>
          <w:rFonts w:ascii="Times New Roman" w:cs="Times New Roman" w:eastAsia="Times New Roman" w:hAnsi="Times New Roman"/>
          <w:sz w:val="20"/>
          <w:szCs w:val="20"/>
        </w:rPr>
        <w:t xml:space="preserve">[34]  M. Caron et al., "Emerging Properties in Self-Supervised Vision Transformers," in ICCV, 2021, arXiv:2104.14294.  †</w:t>
      </w:r>
    </w:p>
    <w:p>
      <w:pPr>
        <w:spacing w:after="110" w:line="260"/>
        <w:ind w:left="560" w:hanging="560"/>
      </w:pPr>
      <w:r>
        <w:rPr>
          <w:rFonts w:ascii="Times New Roman" w:cs="Times New Roman" w:eastAsia="Times New Roman" w:hAnsi="Times New Roman"/>
          <w:sz w:val="20"/>
          <w:szCs w:val="20"/>
        </w:rPr>
        <w:t xml:space="preserve">[35]  M. Oquab et al., "DINOv2: Learning Robust Visual Features without Supervision," Transactions on Machine Learning Research, 2024, arXiv:2304.07193.  †</w:t>
      </w:r>
    </w:p>
    <w:p>
      <w:pPr>
        <w:spacing w:after="110" w:line="260"/>
        <w:ind w:left="560" w:hanging="560"/>
      </w:pPr>
      <w:r>
        <w:rPr>
          <w:rFonts w:ascii="Times New Roman" w:cs="Times New Roman" w:eastAsia="Times New Roman" w:hAnsi="Times New Roman"/>
          <w:sz w:val="20"/>
          <w:szCs w:val="20"/>
        </w:rPr>
        <w:t xml:space="preserve">[36]  O. Simeoni et al., "DINOv3," arXiv:2508.10104, Aug. 2025.  †</w:t>
      </w:r>
    </w:p>
    <w:p>
      <w:pPr>
        <w:spacing w:after="110" w:line="260"/>
        <w:ind w:left="560" w:hanging="560"/>
      </w:pPr>
      <w:r>
        <w:rPr>
          <w:rFonts w:ascii="Times New Roman" w:cs="Times New Roman" w:eastAsia="Times New Roman" w:hAnsi="Times New Roman"/>
          <w:sz w:val="20"/>
          <w:szCs w:val="20"/>
        </w:rPr>
        <w:t xml:space="preserve">[37]  K. He, X. Chen, S. Xie, Y. Li, P. Dollar, and R. Girshick, "Masked Autoencoders Are Scalable Vision Learners," in CVPR, 2022, arXiv:2111.06377.  †</w:t>
      </w:r>
    </w:p>
    <w:p>
      <w:pPr>
        <w:spacing w:after="110" w:line="260"/>
        <w:ind w:left="560" w:hanging="560"/>
      </w:pPr>
      <w:r>
        <w:rPr>
          <w:rFonts w:ascii="Times New Roman" w:cs="Times New Roman" w:eastAsia="Times New Roman" w:hAnsi="Times New Roman"/>
          <w:sz w:val="20"/>
          <w:szCs w:val="20"/>
        </w:rPr>
        <w:t xml:space="preserve">[38]  Z. Liu, H. Mao, C.-Y. Wu, C. Feichtenhofer, T. Darrell, and S. Xie, "A ConvNet for the 2020s," in CVPR, 2022, arXiv:2201.03545.  †</w:t>
      </w:r>
    </w:p>
    <w:p>
      <w:pPr>
        <w:spacing w:after="110" w:line="260"/>
        <w:ind w:left="560" w:hanging="560"/>
      </w:pPr>
      <w:r>
        <w:rPr>
          <w:rFonts w:ascii="Times New Roman" w:cs="Times New Roman" w:eastAsia="Times New Roman" w:hAnsi="Times New Roman"/>
          <w:sz w:val="20"/>
          <w:szCs w:val="20"/>
        </w:rPr>
        <w:t xml:space="preserve">[39]  S. Woo et al., "ConvNeXt V2: Co-designing and Scaling ConvNets with Masked Autoencoders," in CVPR, 2023, arXiv:2301.00808.  †</w:t>
      </w:r>
    </w:p>
    <w:p>
      <w:pPr>
        <w:spacing w:after="110" w:line="260"/>
        <w:ind w:left="560" w:hanging="560"/>
      </w:pPr>
      <w:r>
        <w:rPr>
          <w:rFonts w:ascii="Times New Roman" w:cs="Times New Roman" w:eastAsia="Times New Roman" w:hAnsi="Times New Roman"/>
          <w:sz w:val="20"/>
          <w:szCs w:val="20"/>
        </w:rPr>
        <w:t xml:space="preserve">[40]  M. Tan and Q. V. Le, "EfficientNet: Rethinking Model Scaling for Convolutional Neural Networks," in ICML, 2019, arXiv:1905.11946.  †</w:t>
      </w:r>
    </w:p>
    <w:p>
      <w:pPr>
        <w:spacing w:after="110" w:line="260"/>
        <w:ind w:left="560" w:hanging="560"/>
      </w:pPr>
      <w:r>
        <w:rPr>
          <w:rFonts w:ascii="Times New Roman" w:cs="Times New Roman" w:eastAsia="Times New Roman" w:hAnsi="Times New Roman"/>
          <w:sz w:val="20"/>
          <w:szCs w:val="20"/>
        </w:rPr>
        <w:t xml:space="preserve">[41]  A. Howard et al., "Searching for MobileNetV3," in ICCV, 2019, arXiv:1905.02244.  †</w:t>
      </w:r>
    </w:p>
    <w:p>
      <w:pPr>
        <w:spacing w:after="110" w:line="260"/>
        <w:ind w:left="560" w:hanging="560"/>
      </w:pPr>
      <w:r>
        <w:rPr>
          <w:rFonts w:ascii="Times New Roman" w:cs="Times New Roman" w:eastAsia="Times New Roman" w:hAnsi="Times New Roman"/>
          <w:sz w:val="20"/>
          <w:szCs w:val="20"/>
        </w:rPr>
        <w:t xml:space="preserve">[42]  S. Kornblith, J. Shlens, and Q. V. Le, "Do Better ImageNet Models Transfer Better?," in CVPR, 2019, arXiv:1805.08974.  †</w:t>
      </w:r>
    </w:p>
    <w:p>
      <w:pPr>
        <w:spacing w:after="110" w:line="260"/>
        <w:ind w:left="560" w:hanging="560"/>
      </w:pPr>
      <w:r>
        <w:rPr>
          <w:rFonts w:ascii="Times New Roman" w:cs="Times New Roman" w:eastAsia="Times New Roman" w:hAnsi="Times New Roman"/>
          <w:sz w:val="20"/>
          <w:szCs w:val="20"/>
        </w:rPr>
        <w:t xml:space="preserve">[43]  B. Zhu, J. Cui, and H. Zhang, "Robust Fine-tuning of Zero-shot Models via Variance Reduction," arXiv:2411.06966, Nov. 2024.</w:t>
      </w:r>
    </w:p>
    <w:p>
      <w:pPr>
        <w:spacing w:after="110" w:line="260"/>
        <w:ind w:left="560" w:hanging="560"/>
      </w:pPr>
      <w:r>
        <w:rPr>
          <w:rFonts w:ascii="Times New Roman" w:cs="Times New Roman" w:eastAsia="Times New Roman" w:hAnsi="Times New Roman"/>
          <w:sz w:val="20"/>
          <w:szCs w:val="20"/>
        </w:rPr>
        <w:t xml:space="preserve">[44]  M. Ibing, I. Lim, and L. Kobbelt, "Localized Latent Updates for Fine-Tuning Vision-Language Models," in CVPRW, June 2023, doi: 10.1109/cvprw59228.2023.00474.</w:t>
      </w:r>
    </w:p>
    <w:p>
      <w:pPr>
        <w:spacing w:after="110" w:line="260"/>
        <w:ind w:left="560" w:hanging="560"/>
      </w:pPr>
      <w:r>
        <w:rPr>
          <w:rFonts w:ascii="Times New Roman" w:cs="Times New Roman" w:eastAsia="Times New Roman" w:hAnsi="Times New Roman"/>
          <w:sz w:val="20"/>
          <w:szCs w:val="20"/>
        </w:rPr>
        <w:t xml:space="preserve">[45]  Y. Liu et al., "Continual Learning for VLMs: A Survey and Taxonomy Beyond Forgetting," arXiv:2508.04227, Aug. 2025.</w:t>
      </w:r>
    </w:p>
    <w:p>
      <w:pPr>
        <w:spacing w:after="110" w:line="260"/>
        <w:ind w:left="560" w:hanging="560"/>
      </w:pPr>
      <w:r>
        <w:rPr>
          <w:rFonts w:ascii="Times New Roman" w:cs="Times New Roman" w:eastAsia="Times New Roman" w:hAnsi="Times New Roman"/>
          <w:sz w:val="20"/>
          <w:szCs w:val="20"/>
        </w:rPr>
        <w:t xml:space="preserve">[46]  M. A. Imam, R. F. Marew, J. Hassan, M. Fiaz, A. F. Aji, and H. Cholakkal, "CLIP meets DINO for Tuning Zero-Shot Classifier using Unlabeled Image Collections," arXiv:2411.19346, Nov. 2024.</w:t>
      </w:r>
    </w:p>
    <w:p>
      <w:pPr>
        <w:spacing w:after="110" w:line="260"/>
        <w:ind w:left="560" w:hanging="560"/>
      </w:pPr>
      <w:r>
        <w:rPr>
          <w:rFonts w:ascii="Times New Roman" w:cs="Times New Roman" w:eastAsia="Times New Roman" w:hAnsi="Times New Roman"/>
          <w:sz w:val="20"/>
          <w:szCs w:val="20"/>
        </w:rPr>
        <w:t xml:space="preserve">[47]  S. Kapoor and A. Narayanan, "Leakage and the Reproducibility Crisis in Machine-Learning-Based Science," Patterns, vol. 4, no. 9, 2023, arXiv:2207.07048.  †</w:t>
      </w:r>
    </w:p>
    <w:p>
      <w:pPr>
        <w:spacing w:after="110" w:line="260"/>
        <w:ind w:left="560" w:hanging="560"/>
      </w:pPr>
      <w:r>
        <w:rPr>
          <w:rFonts w:ascii="Times New Roman" w:cs="Times New Roman" w:eastAsia="Times New Roman" w:hAnsi="Times New Roman"/>
          <w:sz w:val="20"/>
          <w:szCs w:val="20"/>
        </w:rPr>
        <w:t xml:space="preserve">[48]  R. Geirhos et al., "Shortcut Learning in Deep Neural Networks," Nature Machine Intelligence, vol. 2, pp. 665-673, 2020, arXiv:2004.07780.  †</w:t>
      </w:r>
    </w:p>
    <w:p>
      <w:pPr>
        <w:spacing w:after="110" w:line="260"/>
        <w:ind w:left="560" w:hanging="560"/>
      </w:pPr>
      <w:r>
        <w:rPr>
          <w:rFonts w:ascii="Times New Roman" w:cs="Times New Roman" w:eastAsia="Times New Roman" w:hAnsi="Times New Roman"/>
          <w:sz w:val="20"/>
          <w:szCs w:val="20"/>
        </w:rPr>
        <w:t xml:space="preserve">[49]  K. Xiao, L. Engstrom, A. Ilyas, and A. Madry, "Noise or Signal: The Role of Image Backgrounds in Object Recognition," in ICLR, 2021, arXiv:2006.09994.  †</w:t>
      </w:r>
    </w:p>
    <w:p>
      <w:pPr>
        <w:spacing w:after="110" w:line="260"/>
        <w:ind w:left="560" w:hanging="560"/>
      </w:pPr>
      <w:r>
        <w:rPr>
          <w:rFonts w:ascii="Times New Roman" w:cs="Times New Roman" w:eastAsia="Times New Roman" w:hAnsi="Times New Roman"/>
          <w:sz w:val="20"/>
          <w:szCs w:val="20"/>
        </w:rPr>
        <w:t xml:space="preserve">[50]  R. Geirhos et al., "ImageNet-trained CNNs are Biased Towards Texture; Increasing Shape Bias Improves Accuracy and Robustness," in ICLR, 2019, arXiv:1811.12231.  †</w:t>
      </w:r>
    </w:p>
    <w:p>
      <w:pPr>
        <w:spacing w:after="110" w:line="260"/>
        <w:ind w:left="560" w:hanging="560"/>
      </w:pPr>
      <w:r>
        <w:rPr>
          <w:rFonts w:ascii="Times New Roman" w:cs="Times New Roman" w:eastAsia="Times New Roman" w:hAnsi="Times New Roman"/>
          <w:sz w:val="20"/>
          <w:szCs w:val="20"/>
        </w:rPr>
        <w:t xml:space="preserve">[51]  J. R. Zech, M. A. Badgeley, M. Liu, A. B. Costa, J. J. Titano, and E. K. Oermann, "Variable Generalization Performance of a Deep Learning Model to Detect Pneumonia in Chest Radiographs: A Cross-Sectional Study," PLOS Medicine, vol. 15, no. 11, 2018.  †</w:t>
      </w:r>
    </w:p>
    <w:p>
      <w:pPr>
        <w:spacing w:after="110" w:line="260"/>
        <w:ind w:left="560" w:hanging="560"/>
      </w:pPr>
      <w:r>
        <w:rPr>
          <w:rFonts w:ascii="Times New Roman" w:cs="Times New Roman" w:eastAsia="Times New Roman" w:hAnsi="Times New Roman"/>
          <w:sz w:val="20"/>
          <w:szCs w:val="20"/>
        </w:rPr>
        <w:t xml:space="preserve">[52]  A. J. DeGrave, J. D. Janizek, and S.-I. Lee, "AI for Radiographic COVID-19 Detection Selects Shortcuts over Signal," Nature Machine Intelligence, vol. 3, pp. 610-619, 2021.  †</w:t>
      </w:r>
    </w:p>
    <w:p>
      <w:pPr>
        <w:spacing w:after="110" w:line="260"/>
        <w:ind w:left="560" w:hanging="560"/>
      </w:pPr>
      <w:r>
        <w:rPr>
          <w:rFonts w:ascii="Times New Roman" w:cs="Times New Roman" w:eastAsia="Times New Roman" w:hAnsi="Times New Roman"/>
          <w:sz w:val="20"/>
          <w:szCs w:val="20"/>
        </w:rPr>
        <w:t xml:space="preserve">[53]  M. Roberts et al., "Common Pitfalls and Recommendations for Using Machine Learning to Detect and Prognosticate for COVID-19 Using Chest Radiographs and CT Scans," Nature Machine Intelligence, vol. 3, pp. 199-217, 2021.  †</w:t>
      </w:r>
    </w:p>
    <w:p>
      <w:pPr>
        <w:spacing w:after="110" w:line="260"/>
        <w:ind w:left="560" w:hanging="560"/>
      </w:pPr>
      <w:r>
        <w:rPr>
          <w:rFonts w:ascii="Times New Roman" w:cs="Times New Roman" w:eastAsia="Times New Roman" w:hAnsi="Times New Roman"/>
          <w:sz w:val="20"/>
          <w:szCs w:val="20"/>
        </w:rPr>
        <w:t xml:space="preserve">[54]  M. F. Dacrema, P. Cremonesi, and D. Jannach, "Are We Really Making Much Progress? A Worrying Analysis of Recent Neural Recommendation Approaches," in RecSys, 2019, arXiv:1907.06902.  †</w:t>
      </w:r>
    </w:p>
    <w:p>
      <w:pPr>
        <w:spacing w:after="110" w:line="260"/>
        <w:ind w:left="560" w:hanging="560"/>
      </w:pPr>
      <w:r>
        <w:rPr>
          <w:rFonts w:ascii="Times New Roman" w:cs="Times New Roman" w:eastAsia="Times New Roman" w:hAnsi="Times New Roman"/>
          <w:sz w:val="20"/>
          <w:szCs w:val="20"/>
        </w:rPr>
        <w:t xml:space="preserve">[55]  J. Adebayo, J. Gilmer, M. Muelly, I. Goodfellow, M. Hardt, and B. Kim, "Sanity Checks for Saliency Maps," in NeurIPS, 2018, arXiv:1810.03292.  †</w:t>
      </w:r>
    </w:p>
    <w:p>
      <w:pPr>
        <w:spacing w:after="110" w:line="260"/>
        <w:ind w:left="560" w:hanging="560"/>
      </w:pPr>
      <w:r>
        <w:rPr>
          <w:rFonts w:ascii="Times New Roman" w:cs="Times New Roman" w:eastAsia="Times New Roman" w:hAnsi="Times New Roman"/>
          <w:sz w:val="20"/>
          <w:szCs w:val="20"/>
        </w:rPr>
        <w:t xml:space="preserve">[56]  M. Diogo, N. Paulo, and H. P. Rangel, "Towards General Urban Monitoring with Vision-Language Models: A Review, Evaluation, and a Research Agenda," arXiv:2510.12400, Oct. 2025.</w:t>
      </w:r>
    </w:p>
    <w:p>
      <w:pPr>
        <w:spacing w:after="110" w:line="260"/>
        <w:ind w:left="560" w:hanging="560"/>
      </w:pPr>
      <w:r>
        <w:rPr>
          <w:rFonts w:ascii="Times New Roman" w:cs="Times New Roman" w:eastAsia="Times New Roman" w:hAnsi="Times New Roman"/>
          <w:sz w:val="20"/>
          <w:szCs w:val="20"/>
        </w:rPr>
        <w:t xml:space="preserve">[57]  R. Sapkota and M. Karkee, "Ultralytics YOLO Evolution: An Overview of YOLO26, YOLO11, YOLOv8 and YOLOv5 Object Detectors," arXiv:2510.09653, Oct. 2025.</w:t>
      </w:r>
    </w:p>
    <w:p>
      <w:pPr>
        <w:spacing w:after="110" w:line="260"/>
        <w:ind w:left="560" w:hanging="560"/>
      </w:pPr>
      <w:r>
        <w:rPr>
          <w:rFonts w:ascii="Times New Roman" w:cs="Times New Roman" w:eastAsia="Times New Roman" w:hAnsi="Times New Roman"/>
          <w:sz w:val="20"/>
          <w:szCs w:val="20"/>
        </w:rPr>
        <w:t xml:space="preserve">[58]  Y. Zhao et al., "DETRs Beat YOLOs on Real-time Object Detection," in CVPR, 2024, arXiv:2304.08069.  †</w:t>
      </w:r>
    </w:p>
    <w:p>
      <w:pPr>
        <w:spacing w:after="110" w:line="260"/>
        <w:ind w:left="560" w:hanging="560"/>
      </w:pPr>
      <w:r>
        <w:rPr>
          <w:rFonts w:ascii="Times New Roman" w:cs="Times New Roman" w:eastAsia="Times New Roman" w:hAnsi="Times New Roman"/>
          <w:sz w:val="20"/>
          <w:szCs w:val="20"/>
        </w:rPr>
        <w:t xml:space="preserve">[59]  T. Cheng, L. Song, Y. Ge, W. Liu, X. Wang, and Y. Shan, "YOLO-World: Real-Time Open-Vocabulary Object Detection," in CVPR, 2024, arXiv:2401.17270.  †</w:t>
      </w:r>
    </w:p>
    <w:p>
      <w:pPr>
        <w:spacing w:after="110" w:line="260"/>
        <w:ind w:left="560" w:hanging="560"/>
      </w:pPr>
      <w:r>
        <w:rPr>
          <w:rFonts w:ascii="Times New Roman" w:cs="Times New Roman" w:eastAsia="Times New Roman" w:hAnsi="Times New Roman"/>
          <w:sz w:val="20"/>
          <w:szCs w:val="20"/>
        </w:rPr>
        <w:t xml:space="preserve">[60]  S. Liu et al., "Grounding DINO: Marrying DINO with Grounded Pre-Training for Open-Set Object Detection," in ECCV, 2024, arXiv:2303.05499.  †</w:t>
      </w:r>
    </w:p>
    <w:p>
      <w:pPr>
        <w:spacing w:after="110" w:line="260"/>
        <w:ind w:left="560" w:hanging="560"/>
      </w:pPr>
      <w:r>
        <w:rPr>
          <w:rFonts w:ascii="Times New Roman" w:cs="Times New Roman" w:eastAsia="Times New Roman" w:hAnsi="Times New Roman"/>
          <w:sz w:val="20"/>
          <w:szCs w:val="20"/>
        </w:rPr>
        <w:t xml:space="preserve">[61]  S. Poulami, B. Shirsha, R. Karsten, and G. Stephan, "Zero-Shot Open-Vocabulary OOD Object Detection and Grounding using Vision Language Models," Fraunhofer Publica, Jan. 2025, doi: 10.24406/publica-4460.</w:t>
      </w:r>
    </w:p>
    <w:p>
      <w:pPr>
        <w:spacing w:after="110" w:line="260"/>
        <w:ind w:left="560" w:hanging="560"/>
      </w:pPr>
      <w:r>
        <w:rPr>
          <w:rFonts w:ascii="Times New Roman" w:cs="Times New Roman" w:eastAsia="Times New Roman" w:hAnsi="Times New Roman"/>
          <w:sz w:val="20"/>
          <w:szCs w:val="20"/>
        </w:rPr>
        <w:t xml:space="preserve">[62]  S. D. Wickramasinghe, "VespaSeg: A Resource-Aware Ground-then-Segment Pipeline for Referring Expression Segmentation," arXiv:2608.01077, Aug. 2026.</w:t>
      </w:r>
    </w:p>
    <w:p>
      <w:pPr>
        <w:spacing w:after="110" w:line="260"/>
        <w:ind w:left="560" w:hanging="560"/>
      </w:pPr>
      <w:r>
        <w:rPr>
          <w:rFonts w:ascii="Times New Roman" w:cs="Times New Roman" w:eastAsia="Times New Roman" w:hAnsi="Times New Roman"/>
          <w:sz w:val="20"/>
          <w:szCs w:val="20"/>
        </w:rPr>
        <w:t xml:space="preserve">[63]  E. E. Somtochukwu and N. Rijal, "Real-Time Industrial Defect Detection on Edge Hardware Using Fine-Tuned YOLOv8," arXiv:2606.07659, June 2026.</w:t>
      </w:r>
    </w:p>
    <w:p>
      <w:pPr>
        <w:spacing w:after="110" w:line="260"/>
        <w:ind w:left="560" w:hanging="560"/>
      </w:pPr>
      <w:r>
        <w:rPr>
          <w:rFonts w:ascii="Times New Roman" w:cs="Times New Roman" w:eastAsia="Times New Roman" w:hAnsi="Times New Roman"/>
          <w:sz w:val="20"/>
          <w:szCs w:val="20"/>
        </w:rPr>
        <w:t xml:space="preserve">[64]  Y. Geifman and R. El-Yaniv, "Selective Classification for Deep Neural Networks," in NeurIPS, 2017, arXiv:1705.08500.  †</w:t>
      </w:r>
    </w:p>
    <w:p>
      <w:pPr>
        <w:spacing w:after="110" w:line="260"/>
        <w:ind w:left="560" w:hanging="560"/>
      </w:pPr>
      <w:r>
        <w:rPr>
          <w:rFonts w:ascii="Times New Roman" w:cs="Times New Roman" w:eastAsia="Times New Roman" w:hAnsi="Times New Roman"/>
          <w:sz w:val="20"/>
          <w:szCs w:val="20"/>
        </w:rPr>
        <w:t xml:space="preserve">[65]  C. Lea, M. D. Flynn, R. Vidal, A. Reiter, and G. D. Hager, "Temporal Convolutional Networks for Action Segmentation and Detection," in CVPR, 2017, arXiv:1611.05267.  †</w:t>
      </w:r>
    </w:p>
    <w:p>
      <w:pPr>
        <w:spacing w:after="110" w:line="260"/>
        <w:ind w:left="560" w:hanging="560"/>
      </w:pPr>
      <w:r>
        <w:rPr>
          <w:rFonts w:ascii="Times New Roman" w:cs="Times New Roman" w:eastAsia="Times New Roman" w:hAnsi="Times New Roman"/>
          <w:sz w:val="20"/>
          <w:szCs w:val="20"/>
        </w:rPr>
        <w:t xml:space="preserve">[66]  Y. A. Farha and J. Gall, "MS-TCN: Multi-Stage Temporal Convolutional Network for Action Segmentation," in CVPR, 2019, arXiv:1903.01945.  †</w:t>
      </w:r>
    </w:p>
    <w:p>
      <w:pPr>
        <w:spacing w:after="110" w:line="260"/>
        <w:ind w:left="560" w:hanging="560"/>
      </w:pPr>
      <w:r>
        <w:rPr>
          <w:rFonts w:ascii="Times New Roman" w:cs="Times New Roman" w:eastAsia="Times New Roman" w:hAnsi="Times New Roman"/>
          <w:sz w:val="20"/>
          <w:szCs w:val="20"/>
        </w:rPr>
        <w:t xml:space="preserve">[67]  Y. Chen, D. Chen, R. Liu, H. Li, and W. Peng, "Video Action Recognition with Attentive Semantic Units," arXiv:2303.09756, Mar. 2023.</w:t>
      </w:r>
    </w:p>
    <w:p>
      <w:pPr>
        <w:spacing w:after="110" w:line="260"/>
        <w:ind w:left="560" w:hanging="560"/>
      </w:pPr>
      <w:r>
        <w:rPr>
          <w:rFonts w:ascii="Times New Roman" w:cs="Times New Roman" w:eastAsia="Times New Roman" w:hAnsi="Times New Roman"/>
          <w:sz w:val="20"/>
          <w:szCs w:val="20"/>
        </w:rPr>
        <w:t xml:space="preserve">[68]  N. Shazeer et al., "Outrageously Large Neural Networks: The Sparsely-Gated Mixture-of-Experts Layer," in ICLR, 2017, arXiv:1701.06538.  †</w:t>
      </w:r>
    </w:p>
    <w:p>
      <w:pPr>
        <w:spacing w:after="110" w:line="260"/>
        <w:ind w:left="560" w:hanging="560"/>
      </w:pPr>
      <w:r>
        <w:rPr>
          <w:rFonts w:ascii="Times New Roman" w:cs="Times New Roman" w:eastAsia="Times New Roman" w:hAnsi="Times New Roman"/>
          <w:sz w:val="20"/>
          <w:szCs w:val="20"/>
        </w:rPr>
        <w:t xml:space="preserve">[69]  Y. Han, G. Huang, S. Song, L. Yang, H. Wang, and Y. Wang, "Dynamic Neural Networks: A Survey," IEEE TPAMI, vol. 44, no. 11, pp. 7436-7456, 2022, arXiv:2102.04906.  †</w:t>
      </w:r>
    </w:p>
    <w:p>
      <w:pPr>
        <w:spacing w:after="110" w:line="260"/>
        <w:ind w:left="560" w:hanging="560"/>
      </w:pPr>
      <w:r>
        <w:rPr>
          <w:rFonts w:ascii="Times New Roman" w:cs="Times New Roman" w:eastAsia="Times New Roman" w:hAnsi="Times New Roman"/>
          <w:sz w:val="20"/>
          <w:szCs w:val="20"/>
        </w:rPr>
        <w:t xml:space="preserve">[70]  G. Hinton, O. Vinyals, and J. Dean, "Distilling the Knowledge in a Neural Network," arXiv:1503.02531, 2015.  †</w:t>
      </w:r>
    </w:p>
    <w:p>
      <w:pPr>
        <w:spacing w:after="110" w:line="260"/>
        <w:ind w:left="560" w:hanging="560"/>
      </w:pPr>
      <w:r>
        <w:rPr>
          <w:rFonts w:ascii="Times New Roman" w:cs="Times New Roman" w:eastAsia="Times New Roman" w:hAnsi="Times New Roman"/>
          <w:sz w:val="20"/>
          <w:szCs w:val="20"/>
        </w:rPr>
        <w:t xml:space="preserve">[71]  Y. Cheng and X. Ye, "Efficient Zero-Shot Vision-Language Models via Multifaceted Knowledge Distillation," in ICOCO, Oct. 2025, pp. 278-283, doi: 10.1109/icoco67189.2025.11334083.</w:t>
      </w:r>
    </w:p>
    <w:p>
      <w:pPr>
        <w:spacing w:after="110" w:line="260"/>
        <w:ind w:left="560" w:hanging="560"/>
      </w:pPr>
      <w:r>
        <w:rPr>
          <w:rFonts w:ascii="Times New Roman" w:cs="Times New Roman" w:eastAsia="Times New Roman" w:hAnsi="Times New Roman"/>
          <w:sz w:val="20"/>
          <w:szCs w:val="20"/>
        </w:rPr>
        <w:t xml:space="preserve">[72]  L. Zhong et al., "Clip4Retrofit: Enabling Real-Time Image Labeling on Edge Devices via Cross-Architecture CLIP Distillation," arXiv:2505.18039, May 2025.</w:t>
      </w:r>
    </w:p>
    <w:p>
      <w:pPr>
        <w:spacing w:after="110" w:line="260"/>
        <w:ind w:left="560" w:hanging="560"/>
      </w:pPr>
      <w:r>
        <w:rPr>
          <w:rFonts w:ascii="Times New Roman" w:cs="Times New Roman" w:eastAsia="Times New Roman" w:hAnsi="Times New Roman"/>
          <w:sz w:val="20"/>
          <w:szCs w:val="20"/>
        </w:rPr>
        <w:t xml:space="preserve">[73]  G. Ghiasi et al., "Simple Copy-Paste is a Strong Data Augmentation Method for Instance Segmentation," in CVPR, 2021, arXiv:2012.07177.  †</w:t>
      </w:r>
    </w:p>
    <w:p>
      <w:pPr>
        <w:spacing w:after="110" w:line="260"/>
        <w:ind w:left="560" w:hanging="560"/>
      </w:pPr>
      <w:r>
        <w:rPr>
          <w:rFonts w:ascii="Times New Roman" w:cs="Times New Roman" w:eastAsia="Times New Roman" w:hAnsi="Times New Roman"/>
          <w:sz w:val="20"/>
          <w:szCs w:val="20"/>
        </w:rPr>
        <w:t xml:space="preserve">[74]  D. Tang et al., "AeroGen: Enhancing Remote Sensing Object Detection with Diffusion-Driven Data Generation," arXiv:2411.15497, Nov. 2024.</w:t>
      </w:r>
    </w:p>
    <w:p>
      <w:pPr>
        <w:spacing w:after="110" w:line="260"/>
        <w:ind w:left="560" w:hanging="560"/>
      </w:pPr>
      <w:r>
        <w:rPr>
          <w:rFonts w:ascii="Times New Roman" w:cs="Times New Roman" w:eastAsia="Times New Roman" w:hAnsi="Times New Roman"/>
          <w:sz w:val="20"/>
          <w:szCs w:val="20"/>
        </w:rPr>
        <w:t xml:space="preserve">[75]  D. Tang et al., "TerraGen: A Unified Multi-Task Layout Generation Framework for Remote Sensing Data Augmentation," arXiv:2510.21391, Oct. 2025.</w:t>
      </w:r>
    </w:p>
    <w:p>
      <w:pPr>
        <w:spacing w:after="110" w:line="260"/>
        <w:ind w:left="560" w:hanging="560"/>
      </w:pPr>
      <w:r>
        <w:rPr>
          <w:rFonts w:ascii="Times New Roman" w:cs="Times New Roman" w:eastAsia="Times New Roman" w:hAnsi="Times New Roman"/>
          <w:sz w:val="20"/>
          <w:szCs w:val="20"/>
        </w:rPr>
        <w:t xml:space="preserve">[76]  D. Hendrycks and T. Dietterich, "Benchmarking Neural Network Robustness to Common Corruptions and Perturbations," in ICLR, 2019, arXiv:1903.12261.  †</w:t>
      </w:r>
    </w:p>
    <w:p>
      <w:pPr>
        <w:spacing w:after="110" w:line="260"/>
        <w:ind w:left="560" w:hanging="560"/>
      </w:pPr>
      <w:r>
        <w:rPr>
          <w:rFonts w:ascii="Times New Roman" w:cs="Times New Roman" w:eastAsia="Times New Roman" w:hAnsi="Times New Roman"/>
          <w:sz w:val="20"/>
          <w:szCs w:val="20"/>
        </w:rPr>
        <w:t xml:space="preserve">[77]  L. Beyer, O. J. Henaff, A. Kolesnikov, X. Zhai, and A. van den Oord, "Are We Done with ImageNet?," arXiv:2006.07159, 2020.  †</w:t>
      </w:r>
    </w:p>
    <w:p>
      <w:pPr>
        <w:spacing w:after="110" w:line="260"/>
        <w:ind w:left="560" w:hanging="560"/>
      </w:pPr>
      <w:r>
        <w:rPr>
          <w:rFonts w:ascii="Times New Roman" w:cs="Times New Roman" w:eastAsia="Times New Roman" w:hAnsi="Times New Roman"/>
          <w:sz w:val="20"/>
          <w:szCs w:val="20"/>
        </w:rPr>
        <w:t xml:space="preserve">[78]  C. G. Northcutt, A. Athalye, and J. Mueller, "Pervasive Label Errors in Test Sets Destabilize Machine Learning Benchmarks," in NeurIPS Datasets and Benchmarks, 2021, arXiv:2103.14749.  †</w:t>
      </w:r>
    </w:p>
    <w:p>
      <w:pPr>
        <w:spacing w:after="110" w:line="260"/>
        <w:ind w:left="560" w:hanging="560"/>
      </w:pPr>
      <w:r>
        <w:rPr>
          <w:rFonts w:ascii="Times New Roman" w:cs="Times New Roman" w:eastAsia="Times New Roman" w:hAnsi="Times New Roman"/>
          <w:sz w:val="20"/>
          <w:szCs w:val="20"/>
        </w:rPr>
        <w:t xml:space="preserve">[79]  R. Artstein and M. Poesio, "Inter-Coder Agreement for Computational Linguistics," Computational Linguistics, vol. 34, no. 4, pp. 555-596, 2008.  †</w:t>
      </w:r>
    </w:p>
    <w:p>
      <w:pPr>
        <w:spacing w:after="110" w:line="260"/>
        <w:ind w:left="560" w:hanging="560"/>
      </w:pPr>
      <w:r>
        <w:rPr>
          <w:rFonts w:ascii="Times New Roman" w:cs="Times New Roman" w:eastAsia="Times New Roman" w:hAnsi="Times New Roman"/>
          <w:sz w:val="20"/>
          <w:szCs w:val="20"/>
        </w:rPr>
        <w:t xml:space="preserve">[80]  Y. Li, E. Ivanova, and M. Bruveris, "FADE: Few-shot/zero-shot Anomaly Detection Engine using Large Vision-Language Model," arXiv:2409.00556, Aug. 2024.</w:t>
      </w:r>
    </w:p>
    <w:p>
      <w:pPr>
        <w:spacing w:after="110" w:line="260"/>
        <w:ind w:left="560" w:hanging="560"/>
      </w:pPr>
      <w:r>
        <w:rPr>
          <w:rFonts w:ascii="Times New Roman" w:cs="Times New Roman" w:eastAsia="Times New Roman" w:hAnsi="Times New Roman"/>
          <w:sz w:val="20"/>
          <w:szCs w:val="20"/>
        </w:rPr>
        <w:t xml:space="preserve">[81]  Z. Li, Y. Ge, Q. Li, and L. Meng, "IAD-CLIP: Vision-Language Models for Zero-Shot Industrial Anomaly Detection," in ICAMechS, Nov. 2024, pp. 123-128, doi: 10.1109/icamechs63130.2024.10818831.</w:t>
      </w:r>
    </w:p>
    <w:p>
      <w:pPr>
        <w:spacing w:after="110" w:line="260"/>
        <w:ind w:left="560" w:hanging="560"/>
      </w:pPr>
      <w:r>
        <w:rPr>
          <w:rFonts w:ascii="Times New Roman" w:cs="Times New Roman" w:eastAsia="Times New Roman" w:hAnsi="Times New Roman"/>
          <w:sz w:val="20"/>
          <w:szCs w:val="20"/>
        </w:rPr>
        <w:t xml:space="preserve">[82]  S. Kaufman, S. Rosset, C. Perlich, and O. Stitelman, "Leakage in Data Mining: Formulation, Detection, and Avoidance," ACM Transactions on Knowledge Discovery from Data, vol. 6, no. 4, 2012.  †</w:t>
      </w:r>
    </w:p>
    <w:p>
      <w:pPr>
        <w:spacing w:after="110" w:line="260"/>
        <w:ind w:left="560" w:hanging="560"/>
      </w:pPr>
      <w:r>
        <w:rPr>
          <w:rFonts w:ascii="Times New Roman" w:cs="Times New Roman" w:eastAsia="Times New Roman" w:hAnsi="Times New Roman"/>
          <w:sz w:val="20"/>
          <w:szCs w:val="20"/>
        </w:rPr>
        <w:t xml:space="preserve">[83]  B. Barz and J. Denzler, "Do We Train on Test Data? Purging CIFAR of Near-Duplicates," Journal of Imaging, vol. 6, no. 6, 2020, arXiv:1902.00423.  †</w:t>
      </w:r>
    </w:p>
    <w:p>
      <w:pPr>
        <w:spacing w:after="110" w:line="260"/>
        <w:ind w:left="560" w:hanging="560"/>
      </w:pPr>
      <w:r>
        <w:rPr>
          <w:rFonts w:ascii="Times New Roman" w:cs="Times New Roman" w:eastAsia="Times New Roman" w:hAnsi="Times New Roman"/>
          <w:sz w:val="20"/>
          <w:szCs w:val="20"/>
        </w:rPr>
        <w:t xml:space="preserve">[84]  B. Recht, R. Roelofs, L. Schmidt, and V. Shankar, "Do ImageNet Classifiers Generalize to ImageNet?," in ICML, 2019, arXiv:1902.10811.  †</w:t>
      </w:r>
    </w:p>
    <w:p>
      <w:pPr>
        <w:spacing w:after="110" w:line="260"/>
        <w:ind w:left="560" w:hanging="560"/>
      </w:pPr>
      <w:r>
        <w:rPr>
          <w:rFonts w:ascii="Times New Roman" w:cs="Times New Roman" w:eastAsia="Times New Roman" w:hAnsi="Times New Roman"/>
          <w:sz w:val="20"/>
          <w:szCs w:val="20"/>
        </w:rPr>
        <w:t xml:space="preserve">[85]  M. P. Naeini, G. F. Cooper, and M. Hauskrecht, "Obtaining Well Calibrated Probabilities Using Bayesian Binning," in AAAI, 2015.  †</w:t>
      </w:r>
    </w:p>
    <w:p>
      <w:pPr>
        <w:spacing w:after="110" w:line="260"/>
        <w:ind w:left="560" w:hanging="560"/>
      </w:pPr>
      <w:r>
        <w:rPr>
          <w:rFonts w:ascii="Times New Roman" w:cs="Times New Roman" w:eastAsia="Times New Roman" w:hAnsi="Times New Roman"/>
          <w:sz w:val="20"/>
          <w:szCs w:val="20"/>
        </w:rPr>
        <w:t xml:space="preserve">[86]  T. G. Dietterich, "Approximate Statistical Tests for Comparing Supervised Classification Learning Algorithms," Neural Computation, vol. 10, no. 7, pp. 1895-1923, 1998.  †</w:t>
      </w:r>
    </w:p>
    <w:p>
      <w:pPr>
        <w:spacing w:after="110" w:line="260"/>
        <w:ind w:left="560" w:hanging="560"/>
      </w:pPr>
      <w:r>
        <w:rPr>
          <w:rFonts w:ascii="Times New Roman" w:cs="Times New Roman" w:eastAsia="Times New Roman" w:hAnsi="Times New Roman"/>
          <w:sz w:val="20"/>
          <w:szCs w:val="20"/>
        </w:rPr>
        <w:t xml:space="preserve">[87]  J. Demsar, "Statistical Comparisons of Classifiers over Multiple Data Sets," Journal of Machine Learning Research, vol. 7, pp. 1-30, 2006.  †</w:t>
      </w:r>
    </w:p>
    <w:p>
      <w:pPr>
        <w:spacing w:after="110" w:line="260"/>
        <w:ind w:left="560" w:hanging="560"/>
      </w:pPr>
      <w:r>
        <w:rPr>
          <w:rFonts w:ascii="Times New Roman" w:cs="Times New Roman" w:eastAsia="Times New Roman" w:hAnsi="Times New Roman"/>
          <w:sz w:val="20"/>
          <w:szCs w:val="20"/>
        </w:rPr>
        <w:t xml:space="preserve">[88]  S. Holm, "A Simple Sequentially Rejective Multiple Test Procedure," Scandinavian Journal of Statistics, vol. 6, no. 2, pp. 65-70, 1979.  †</w:t>
      </w:r>
    </w:p>
    <w:p>
      <w:pPr>
        <w:spacing w:after="110" w:line="260"/>
        <w:ind w:left="560" w:hanging="560"/>
      </w:pPr>
      <w:r>
        <w:rPr>
          <w:rFonts w:ascii="Times New Roman" w:cs="Times New Roman" w:eastAsia="Times New Roman" w:hAnsi="Times New Roman"/>
          <w:sz w:val="20"/>
          <w:szCs w:val="20"/>
        </w:rPr>
        <w:t xml:space="preserve">[89]  M. S. G. Sourav et al., "Occupancy Estimation from Blurred Video: A Multifaceted Approach with Privacy Consideration," Sensors, vol. 24, no. 12, p. 3739, June 2024, doi: 10.3390/s24123739.</w:t>
      </w:r>
    </w:p>
    <w:p>
      <w:pPr>
        <w:spacing w:after="110" w:line="260"/>
        <w:ind w:left="560" w:hanging="560"/>
      </w:pPr>
      <w:r>
        <w:rPr>
          <w:rFonts w:ascii="Times New Roman" w:cs="Times New Roman" w:eastAsia="Times New Roman" w:hAnsi="Times New Roman"/>
          <w:sz w:val="20"/>
          <w:szCs w:val="20"/>
        </w:rPr>
        <w:t xml:space="preserve">[90]  A. W. Xu, J. T. Biehl, and A. F. Lee, "Getting it Just Right: Towards Balanced Utility, Privacy, and Equity in Shared Space Sensing," ACM Transactions on the Internet of Things, vol. 5, no. 2, pp. 1-26, May 2024, doi: 10.1145/3648479.</w:t>
      </w:r>
    </w:p>
    <w:p>
      <w:pPr>
        <w:spacing w:after="110" w:line="260"/>
        <w:ind w:left="560" w:hanging="560"/>
      </w:pPr>
      <w:r>
        <w:rPr>
          <w:rFonts w:ascii="Times New Roman" w:cs="Times New Roman" w:eastAsia="Times New Roman" w:hAnsi="Times New Roman"/>
          <w:sz w:val="20"/>
          <w:szCs w:val="20"/>
        </w:rPr>
        <w:t xml:space="preserve">[91]  A. J. Lee, J. Biehl, and C. Curry, "Sensing or Watching?: Balancing Utility and Privacy in Sensing Systems via Collection and Enforcement Mechanisms," in SACMAT, June 2018, pp. 105-116, doi: 10.1145/3205977.3205983.</w:t>
      </w:r>
    </w:p>
    <w:p>
      <w:pPr>
        <w:spacing w:after="110" w:line="260"/>
        <w:ind w:left="560" w:hanging="560"/>
      </w:pPr>
      <w:r>
        <w:rPr>
          <w:rFonts w:ascii="Times New Roman" w:cs="Times New Roman" w:eastAsia="Times New Roman" w:hAnsi="Times New Roman"/>
          <w:sz w:val="20"/>
          <w:szCs w:val="20"/>
        </w:rPr>
        <w:t xml:space="preserve">[92]  N. Notario et al., "PRIPARE: Integrating Privacy Best Practices into a Privacy Engineering Methodology," in IEEE SPW, May 2015, pp. 151-158, doi: 10.1109/SPW.2015.22.</w:t>
      </w:r>
    </w:p>
    <w:sectPr>
      <w:pgSz w:w="11906" w:h="16838"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2026-09-07T19:49:15.363Z</dcterms:created>
  <dcterms:modified xsi:type="dcterms:W3CDTF">2026-09-07T19:49:15.365Z</dcterms:modified>
</cp:coreProperties>
</file>

<file path=docProps/custom.xml><?xml version="1.0" encoding="utf-8"?>
<Properties xmlns="http://schemas.openxmlformats.org/officeDocument/2006/custom-properties" xmlns:vt="http://schemas.openxmlformats.org/officeDocument/2006/docPropsVTypes"/>
</file>