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ED29B">
      <w:pPr>
        <w:pStyle w:val="18"/>
        <w:spacing w:after="200"/>
      </w:pPr>
      <w:r>
        <w:t>Arabic RAG Pipeline — Updated Architecture Summary</w:t>
      </w:r>
    </w:p>
    <w:p w14:paraId="7B296E36">
      <w:pPr>
        <w:spacing w:after="120"/>
      </w:pPr>
      <w:r>
        <w:t>Pipeline: Parse → Chunk → Embed &amp; Index → Route → Query Transformation (when advanced) → Retrieve (hybrid) → Rerank → CRAG/Co</w:t>
      </w:r>
      <w:bookmarkStart w:id="0" w:name="_GoBack"/>
      <w:bookmarkEnd w:id="0"/>
      <w:r>
        <w:t>mpression (when selected) → Generate, with retrieval-confidence, token/cost, latency, and per-technique reporting.</w:t>
      </w:r>
    </w:p>
    <w:p w14:paraId="2217E898">
      <w:pPr>
        <w:pStyle w:val="2"/>
        <w:spacing w:before="300" w:after="120"/>
      </w:pPr>
      <w:r>
        <w:t>Parsing</w:t>
      </w:r>
    </w:p>
    <w:p w14:paraId="03E137EF">
      <w:pPr>
        <w:pStyle w:val="19"/>
        <w:numPr>
          <w:ilvl w:val="0"/>
          <w:numId w:val="1"/>
        </w:numPr>
        <w:spacing w:after="60"/>
      </w:pPr>
      <w:r>
        <w:t>Native PDF text extraction: used only as a per-page fallback when Tesseract OCR is judged weak. It is not the primary extraction path because the corpus contains pages whose embedded PDF font mapping corrupts Arabic characters.</w:t>
      </w:r>
    </w:p>
    <w:p w14:paraId="17007F4A">
      <w:pPr>
        <w:pStyle w:val="19"/>
        <w:numPr>
          <w:ilvl w:val="0"/>
          <w:numId w:val="1"/>
        </w:numPr>
        <w:spacing w:after="60"/>
      </w:pPr>
      <w:r>
        <w:t>Bidi/semantic correction is not used in the current OCR-first parser. OCR text is only cleaned for layout noise and invisible/control characters; no LLM or semantic word replacement is applied.</w:t>
      </w:r>
    </w:p>
    <w:p w14:paraId="643D529B">
      <w:pPr>
        <w:pStyle w:val="19"/>
        <w:numPr>
          <w:ilvl w:val="0"/>
          <w:numId w:val="1"/>
        </w:numPr>
        <w:spacing w:after="60"/>
      </w:pPr>
      <w:r>
        <w:t>OCR (Tesseract): primary PDF extraction using ara+eng and PSM 6. It uses confidence-aware image_to_data output, conservative removal of very-low-confidence short non-Arabic tokens, and page-level sanity checks.</w:t>
      </w:r>
    </w:p>
    <w:p w14:paraId="6F1A7BAA">
      <w:pPr>
        <w:pStyle w:val="19"/>
        <w:numPr>
          <w:ilvl w:val="0"/>
          <w:numId w:val="1"/>
        </w:numPr>
        <w:spacing w:after="60"/>
      </w:pPr>
      <w:r>
        <w:t>Tables: detected geometrically with pdfplumber.find_tables(), independent of OCR. Detected table regions are masked from whole-page OCR, then each table cell is cropped and OCR'd separately so column/row structure is preserved.</w:t>
      </w:r>
    </w:p>
    <w:p w14:paraId="32FBCE5F">
      <w:pPr>
        <w:pStyle w:val="19"/>
        <w:numPr>
          <w:ilvl w:val="0"/>
          <w:numId w:val="1"/>
        </w:numPr>
        <w:spacing w:after="60"/>
      </w:pPr>
      <w:r>
        <w:t>Preprocessing: grayscale conversion → median blur → contrast normalization → Otsu binarization. The same OCR engine remains Tesseract; preprocessing is only intended to improve recognition robustness.</w:t>
      </w:r>
    </w:p>
    <w:p w14:paraId="052EC814">
      <w:pPr>
        <w:pStyle w:val="2"/>
        <w:spacing w:before="300" w:after="120"/>
      </w:pPr>
      <w:r>
        <w:t>Headings: OCR lines are classified as headings using procedure patterns, numbered-heading patterns, section keywords, and conservative Arabic heading heuristics. This restores procedure/section boundaries for Manual-Procedure chunking.</w:t>
      </w:r>
    </w:p>
    <w:tbl>
      <w:tblPr>
        <w:tblStyle w:val="9"/>
        <w:tblW w:w="105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42"/>
        <w:gridCol w:w="7417"/>
      </w:tblGrid>
      <w:tr w14:paraId="1422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3142" w:type="dxa"/>
            <w:shd w:val="clear" w:color="auto" w:fill="D9E2F3"/>
          </w:tcPr>
          <w:p w14:paraId="31E16084">
            <w:r>
              <w:rPr>
                <w:b/>
                <w:bCs/>
              </w:rPr>
              <w:t>Strategy</w:t>
            </w:r>
          </w:p>
        </w:tc>
        <w:tc>
          <w:tcPr>
            <w:tcW w:w="7417" w:type="dxa"/>
            <w:shd w:val="clear" w:color="auto" w:fill="D9E2F3"/>
          </w:tcPr>
          <w:p w14:paraId="3D07ED3D">
            <w:r>
              <w:rPr>
                <w:b/>
                <w:bCs/>
              </w:rPr>
              <w:t>Best for</w:t>
            </w:r>
          </w:p>
        </w:tc>
      </w:tr>
      <w:tr w14:paraId="27618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3142" w:type="dxa"/>
          </w:tcPr>
          <w:p w14:paraId="14D1AEE1">
            <w:r>
              <w:rPr>
                <w:b w:val="0"/>
                <w:bCs w:val="0"/>
              </w:rPr>
              <w:t>Fixed-Size</w:t>
            </w:r>
          </w:p>
        </w:tc>
        <w:tc>
          <w:tcPr>
            <w:tcW w:w="7417" w:type="dxa"/>
          </w:tcPr>
          <w:p w14:paraId="72DFBD50">
            <w:r>
              <w:rPr>
                <w:b w:val="0"/>
                <w:bCs w:val="0"/>
              </w:rPr>
              <w:t>Weakest fit — cuts through steps and tables arbitrarily</w:t>
            </w:r>
          </w:p>
        </w:tc>
      </w:tr>
      <w:tr w14:paraId="7D6E2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3142" w:type="dxa"/>
          </w:tcPr>
          <w:p w14:paraId="0196D0A9">
            <w:r>
              <w:rPr>
                <w:b w:val="0"/>
                <w:bCs w:val="0"/>
              </w:rPr>
              <w:t>Recursive-Character</w:t>
            </w:r>
          </w:p>
        </w:tc>
        <w:tc>
          <w:tcPr>
            <w:tcW w:w="7417" w:type="dxa"/>
          </w:tcPr>
          <w:p w14:paraId="2FD5F4DA">
            <w:r>
              <w:rPr>
                <w:b w:val="0"/>
                <w:bCs w:val="0"/>
              </w:rPr>
              <w:t>Better — keeps table rows intact when splitting</w:t>
            </w:r>
          </w:p>
        </w:tc>
      </w:tr>
      <w:tr w14:paraId="3CBD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3142" w:type="dxa"/>
          </w:tcPr>
          <w:p w14:paraId="70B14A25">
            <w:r>
              <w:rPr>
                <w:b w:val="0"/>
                <w:bCs w:val="0"/>
              </w:rPr>
              <w:t>Structural</w:t>
            </w:r>
          </w:p>
        </w:tc>
        <w:tc>
          <w:tcPr>
            <w:tcW w:w="7417" w:type="dxa"/>
          </w:tcPr>
          <w:p w14:paraId="4A69D0B6">
            <w:r>
              <w:rPr>
                <w:b w:val="0"/>
                <w:bCs w:val="0"/>
              </w:rPr>
              <w:t>Good general fallback — follows the document's heading hierarchy</w:t>
            </w:r>
          </w:p>
        </w:tc>
      </w:tr>
      <w:tr w14:paraId="2140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3142" w:type="dxa"/>
          </w:tcPr>
          <w:p w14:paraId="1B39F768">
            <w:r>
              <w:rPr>
                <w:b w:val="0"/>
                <w:bCs w:val="0"/>
              </w:rPr>
              <w:t>Manual-Procedure</w:t>
            </w:r>
          </w:p>
        </w:tc>
        <w:tc>
          <w:tcPr>
            <w:tcW w:w="7417" w:type="dxa"/>
          </w:tcPr>
          <w:p w14:paraId="6FBB4E5C">
            <w:r>
              <w:rPr>
                <w:b w:val="0"/>
                <w:bCs w:val="0"/>
              </w:rPr>
              <w:t>Best fit here — matches how these manuals are written (numbered procedures)</w:t>
            </w:r>
          </w:p>
        </w:tc>
      </w:tr>
      <w:tr w14:paraId="3D20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11" w:hRule="atLeast"/>
        </w:trPr>
        <w:tc>
          <w:tcPr>
            <w:tcW w:w="3142" w:type="dxa"/>
          </w:tcPr>
          <w:p w14:paraId="65B400CA">
            <w:r>
              <w:rPr>
                <w:b w:val="0"/>
                <w:bCs w:val="0"/>
              </w:rPr>
              <w:t>Parent-Child</w:t>
            </w:r>
          </w:p>
        </w:tc>
        <w:tc>
          <w:tcPr>
            <w:tcW w:w="7417" w:type="dxa"/>
          </w:tcPr>
          <w:p w14:paraId="5D7D3A3F">
            <w:r>
              <w:rPr>
                <w:b w:val="0"/>
                <w:bCs w:val="0"/>
              </w:rPr>
              <w:t>Best for "explain the whole process" questions — precise matching on small chunks, full context from the larger parent</w:t>
            </w:r>
          </w:p>
        </w:tc>
      </w:tr>
    </w:tbl>
    <w:p w14:paraId="328406A2">
      <w:pPr>
        <w:pStyle w:val="2"/>
        <w:spacing w:before="300" w:after="120"/>
      </w:pPr>
      <w:r>
        <w:t>Chunking</w:t>
      </w:r>
    </w:p>
    <w:p w14:paraId="63BA84AF">
      <w:pPr>
        <w:pStyle w:val="19"/>
        <w:numPr>
          <w:ilvl w:val="0"/>
          <w:numId w:val="1"/>
        </w:numPr>
        <w:spacing w:after="60"/>
      </w:pPr>
      <w:r>
        <w:t>Manual-Procedure is the main structural strategy; Parent-Child is available when larger parent context is useful.</w:t>
      </w:r>
    </w:p>
    <w:p w14:paraId="5BC75DBD">
      <w:pPr>
        <w:pStyle w:val="19"/>
        <w:numPr>
          <w:ilvl w:val="0"/>
          <w:numId w:val="1"/>
        </w:numPr>
        <w:spacing w:after="60"/>
      </w:pPr>
      <w:r>
        <w:t>More tolerant of small OCR errors than exact-match (keyword) search.</w:t>
      </w:r>
    </w:p>
    <w:p w14:paraId="1C556EFD">
      <w:pPr>
        <w:pStyle w:val="19"/>
        <w:numPr>
          <w:ilvl w:val="0"/>
          <w:numId w:val="1"/>
        </w:numPr>
        <w:spacing w:after="60"/>
      </w:pPr>
      <w:r>
        <w:t>Still depends entirely on clean input text — no embedding model fixes bad parsing.</w:t>
      </w:r>
    </w:p>
    <w:p w14:paraId="5BA21428">
      <w:pPr>
        <w:pStyle w:val="2"/>
        <w:spacing w:before="300" w:after="120"/>
        <w:rPr>
          <w:rFonts w:hint="default" w:cs="Times New Roman"/>
          <w:lang w:val="en-US" w:bidi="ar-EG"/>
        </w:rPr>
      </w:pPr>
    </w:p>
    <w:p w14:paraId="7E4D7450">
      <w:pPr>
        <w:pStyle w:val="2"/>
        <w:spacing w:before="300" w:after="120"/>
        <w:rPr>
          <w:rFonts w:hint="default" w:cs="Times New Roman"/>
          <w:lang w:val="en-US" w:bidi="ar-EG"/>
        </w:rPr>
      </w:pPr>
      <w:r>
        <w:rPr>
          <w:rFonts w:hint="default" w:cs="Times New Roman"/>
          <w:lang w:val="en-US" w:bidi="ar-EG"/>
        </w:rPr>
        <w:t>Embedding</w:t>
      </w:r>
    </w:p>
    <w:p w14:paraId="33846FBA">
      <w:pPr>
        <w:rPr>
          <w:rFonts w:hint="default" w:cs="Times New Roman"/>
          <w:lang w:val="en-US" w:bidi="ar-EG"/>
        </w:rPr>
      </w:pPr>
      <w:r>
        <w:rPr>
          <w:rFonts w:hint="default" w:cs="Times New Roman"/>
          <w:lang w:val="en-US" w:bidi="ar-EG"/>
        </w:rPr>
        <w:t>Why did I use BAAI/bge-m3?</w:t>
      </w:r>
    </w:p>
    <w:p w14:paraId="4C224145">
      <w:pPr>
        <w:pStyle w:val="19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multilingual embedding model, making it suitable for representing Arabic and English content in a shared semantic space.</w:t>
      </w:r>
    </w:p>
    <w:p w14:paraId="7B8FFB93">
      <w:pPr>
        <w:pStyle w:val="19"/>
        <w:numPr>
          <w:ilvl w:val="0"/>
          <w:numId w:val="1"/>
        </w:numPr>
        <w:spacing w:after="60"/>
        <w:rPr>
          <w:rFonts w:hint="default" w:cs="Times New Roman"/>
          <w:lang w:val="en-US" w:bidi="ar-EG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Strong semantic retrieval. </w:t>
      </w:r>
      <w:r>
        <w:rPr>
          <w:rFonts w:hint="default" w:ascii="Times New Roman" w:hAnsi="Times New Roman" w:eastAsia="SimSun" w:cs="Times New Roman"/>
          <w:sz w:val="21"/>
          <w:szCs w:val="21"/>
        </w:rPr>
        <w:t>The RAG system relies on semantic similarity to retrieve relevant document chunks.</w:t>
      </w:r>
    </w:p>
    <w:p w14:paraId="6FED6C1C">
      <w:pPr>
        <w:pStyle w:val="19"/>
        <w:numPr>
          <w:ilvl w:val="0"/>
          <w:numId w:val="1"/>
        </w:numPr>
        <w:spacing w:after="60"/>
        <w:rPr>
          <w:rFonts w:hint="default" w:cs="Times New Roman"/>
          <w:lang w:val="en-US" w:bidi="ar-EG"/>
        </w:rPr>
      </w:pPr>
      <w:r>
        <w:t xml:space="preserve">The project uses </w:t>
      </w:r>
      <w:r>
        <w:rPr>
          <w:rStyle w:val="17"/>
        </w:rPr>
        <w:t>Hybrid Retrieval</w:t>
      </w:r>
      <w:r>
        <w:t>, combining:</w:t>
      </w:r>
      <w:r>
        <w:rPr>
          <w:rFonts w:hint="default"/>
          <w:lang w:val="en-US"/>
        </w:rPr>
        <w:t xml:space="preserve"> </w:t>
      </w:r>
      <w:r>
        <w:rPr>
          <w:rStyle w:val="17"/>
        </w:rPr>
        <w:t>Dense/Semantic Retrieval</w:t>
      </w:r>
      <w:r>
        <w:t xml:space="preserve"> using </w:t>
      </w:r>
      <w:r>
        <w:rPr>
          <w:rStyle w:val="14"/>
        </w:rPr>
        <w:t>BAAI/bge-m3</w:t>
      </w:r>
      <w:r>
        <w:t xml:space="preserve"> </w:t>
      </w:r>
      <w:r>
        <w:rPr>
          <w:rFonts w:hint="default"/>
          <w:lang w:val="en-US"/>
        </w:rPr>
        <w:t xml:space="preserve">&amp; </w:t>
      </w:r>
      <w:r>
        <w:rPr>
          <w:rStyle w:val="17"/>
        </w:rPr>
        <w:t>Keyword Retrieval</w:t>
      </w:r>
      <w:r>
        <w:t xml:space="preserve"> using BM25</w:t>
      </w:r>
    </w:p>
    <w:p w14:paraId="1B37880D">
      <w:pPr>
        <w:pStyle w:val="19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1"/>
          <w:lang w:val="en-US" w:bidi="ar-EG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Suitable for Structured and Long Documents</w:t>
      </w:r>
    </w:p>
    <w:p w14:paraId="5BF1BF5D">
      <w:pPr>
        <w:pStyle w:val="2"/>
        <w:spacing w:before="300" w:after="120"/>
      </w:pPr>
    </w:p>
    <w:p w14:paraId="069A8D86">
      <w:pPr>
        <w:pStyle w:val="2"/>
        <w:spacing w:before="300" w:after="120"/>
      </w:pPr>
      <w:r>
        <w:t>Retrieval — Hybrid (semantic + keyword)</w:t>
      </w:r>
    </w:p>
    <w:p w14:paraId="24F64C6A">
      <w:pPr>
        <w:pStyle w:val="19"/>
        <w:numPr>
          <w:ilvl w:val="0"/>
          <w:numId w:val="1"/>
        </w:numPr>
        <w:spacing w:after="60"/>
      </w:pPr>
      <w:r>
        <w:t>Combines paraphrase matching (semantic) with exact-term matching (keyword).</w:t>
      </w:r>
    </w:p>
    <w:p w14:paraId="39F1B84C">
      <w:pPr>
        <w:pStyle w:val="19"/>
        <w:numPr>
          <w:ilvl w:val="0"/>
          <w:numId w:val="1"/>
        </w:numPr>
        <w:spacing w:after="60"/>
      </w:pPr>
      <w:r>
        <w:t>Fixed: keyword retrieval no longer drops genuine matches because of negative common-word scoring.</w:t>
      </w:r>
    </w:p>
    <w:p w14:paraId="51DA6F07">
      <w:pPr>
        <w:pStyle w:val="19"/>
        <w:numPr>
          <w:ilvl w:val="0"/>
          <w:numId w:val="1"/>
        </w:numPr>
        <w:spacing w:after="60"/>
      </w:pPr>
      <w:r>
        <w:t>Fixed: stopword filtering is applied consistently to reduce retrieval noise.</w:t>
      </w:r>
    </w:p>
    <w:p w14:paraId="34C74B3F">
      <w:pPr>
        <w:pStyle w:val="2"/>
        <w:spacing w:before="300" w:after="120"/>
      </w:pPr>
      <w:r>
        <w:t>Routing</w:t>
      </w:r>
    </w:p>
    <w:p w14:paraId="51A5249D">
      <w:pPr>
        <w:pStyle w:val="19"/>
        <w:numPr>
          <w:ilvl w:val="0"/>
          <w:numId w:val="1"/>
        </w:numPr>
        <w:spacing w:after="60"/>
      </w:pPr>
      <w:r>
        <w:t>A deterministic document-sensitive shortcut routes formula, procedure, rule, inventory, manual, and related organization-specific questions directly to basic_rag so document-grounded answers are preferred.</w:t>
      </w:r>
    </w:p>
    <w:p w14:paraId="2D88258A">
      <w:pPr>
        <w:pStyle w:val="19"/>
        <w:numPr>
          <w:ilvl w:val="0"/>
          <w:numId w:val="1"/>
        </w:numPr>
        <w:spacing w:after="60"/>
      </w:pPr>
      <w:r>
        <w:t>Other questions go through the LLM router, which can select simple, basic_rag, or advanced_rag and request justified techniques.</w:t>
      </w:r>
    </w:p>
    <w:p w14:paraId="03060C94">
      <w:pPr>
        <w:pStyle w:val="19"/>
        <w:numPr>
          <w:ilvl w:val="0"/>
          <w:numId w:val="1"/>
        </w:numPr>
        <w:spacing w:after="60"/>
      </w:pPr>
      <w:r>
        <w:t>The router deliberately favors basic_rag for document-sensitive questions. Advanced RAG is used for multiple information needs, ambiguity, metadata constraints, or retrieval-improvement cases.</w:t>
      </w:r>
    </w:p>
    <w:p w14:paraId="1432761E">
      <w:pPr>
        <w:pStyle w:val="2"/>
        <w:spacing w:before="300" w:after="120"/>
      </w:pPr>
      <w:r>
        <w:t>Generation &amp; Cost</w:t>
      </w:r>
    </w:p>
    <w:p w14:paraId="183E817A">
      <w:pPr>
        <w:pStyle w:val="19"/>
        <w:numPr>
          <w:ilvl w:val="0"/>
          <w:numId w:val="1"/>
        </w:numPr>
        <w:spacing w:after="60"/>
      </w:pPr>
      <w:r>
        <w:t>Confidence is a retrieval-quality heuristic, not a correctness score. It combines reranker/semantic scores, top-score strength, score margin, agreement, and evidence indicators such as formulas and tables.</w:t>
      </w:r>
    </w:p>
    <w:p w14:paraId="73EF1497">
      <w:pPr>
        <w:pStyle w:val="19"/>
        <w:numPr>
          <w:ilvl w:val="0"/>
          <w:numId w:val="1"/>
        </w:numPr>
        <w:spacing w:after="60"/>
      </w:pPr>
      <w:r>
        <w:t>Every LLM call is logged and assigned simulated cost from input/output token counts and the configured model-price table. Costs are broken down by technique and totaled per question.</w:t>
      </w:r>
    </w:p>
    <w:p w14:paraId="406EDFE7">
      <w:r>
        <w:t>Confidence labels: Very High ≥ 0.80, High ≥ 0.65, Medium ≥ 0.45, Low ≥ 0.25, otherwise Very Low. The result object also reports route, techniques_used, retrieved chunks, final context, sources, intermediate pipeline details, LLM calls, latency, total_cost, and cost_by_technique.</w:t>
      </w:r>
    </w:p>
    <w:p w14:paraId="5D302DF5"/>
    <w:p w14:paraId="55F62225">
      <w:r>
        <w:rPr>
          <w:b/>
          <w:sz w:val="24"/>
        </w:rPr>
        <w:t>Confidence and reporting</w:t>
      </w:r>
    </w:p>
    <w:p w14:paraId="6BE638A8">
      <w:r>
        <w:t>Results from multiple queries are deduplicated by chunk_id while preserving retrieval queries and scores in chunk metadata. Decomposition results also retain the originating subquestion. This supports query agreement, debugging, reranking, and confidence calculation.</w:t>
      </w:r>
    </w:p>
    <w:p w14:paraId="564A58C5"/>
    <w:p w14:paraId="03AD7132">
      <w:r>
        <w:rPr>
          <w:b/>
          <w:sz w:val="24"/>
        </w:rPr>
        <w:t>Retrieval merge and evidence tracking</w:t>
      </w:r>
    </w:p>
    <w:p w14:paraId="57CD3C6A">
      <w:r>
        <w:t>Auto-escalation: when a basic_rag query has Very Low/Low retrieval confidence, the engine can generate Multi-Query variants, retrieve again, rerank, and change the reported route to advanced_rag.</w:t>
      </w:r>
    </w:p>
    <w:p w14:paraId="531045BF">
      <w:r>
        <w:t>CRAG: evaluates the retrieved evidence using reranker features when available, otherwise a lexical fallback. Low/uncertain evidence can trigger query rewriting and a second retrieval/reranking pass.</w:t>
      </w:r>
    </w:p>
    <w:p w14:paraId="00D05D7B">
      <w:r>
        <w:t>Contextual compression: preserves table chunks as-is and otherwise keeps relevant sentences plus nearby context when query-word overlap is available; otherwise it retains the original chunk.</w:t>
      </w:r>
    </w:p>
    <w:p w14:paraId="682BCF94">
      <w:r>
        <w:t>Reranking: CrossEncoder BAAI/bge-reranker-v2-m3 reranks candidate chunks using the original question plus available retrieval variants/subquestions, with additional document-aware bonuses for tables, formulas, important terminology, and phrase matches.</w:t>
      </w:r>
    </w:p>
    <w:p w14:paraId="33F41774"/>
    <w:p w14:paraId="5CAE0103"/>
    <w:p w14:paraId="453B97E2"/>
    <w:p w14:paraId="51E2B369">
      <w:r>
        <w:rPr>
          <w:b/>
          <w:sz w:val="24"/>
        </w:rPr>
        <w:t>Retrieval improvements</w:t>
      </w:r>
    </w:p>
    <w:p w14:paraId="6D0A44C7">
      <w:r>
        <w:t>Self-Query: produces a semantic query plus metadata filters only when the user explicitly supplies or requests them. Supported fields include document, procedure, section, version, issue/review dates and years, department, and year_gt.</w:t>
      </w:r>
    </w:p>
    <w:p w14:paraId="67E75166">
      <w:r>
        <w:t>HyDE: creates a hypothetical retrieval passage used only as a search aid, never as factual evidence.</w:t>
      </w:r>
    </w:p>
    <w:p w14:paraId="03D9C4BA">
      <w:r>
        <w:t>Decomposition: splits multi-part questions into independently searchable subquestions, retrieves each separately, then merges the evidence.</w:t>
      </w:r>
    </w:p>
    <w:p w14:paraId="07C61CC3">
      <w:r>
        <w:t>Multi-Query: generates up to three diverse search queries; for English questions targeting Arabic manuals, it can include English, Arabic-equivalent, and terminology-focused variants.</w:t>
      </w:r>
    </w:p>
    <w:p w14:paraId="24F09682">
      <w:pPr>
        <w:rPr>
          <w:b/>
          <w:sz w:val="24"/>
        </w:rPr>
      </w:pPr>
      <w:r>
        <w:t>Rewriting: produces one precise standalone retrieval query while preserving document terminology.</w:t>
      </w:r>
    </w:p>
    <w:p w14:paraId="6553FD29">
      <w:pPr>
        <w:rPr>
          <w:b/>
          <w:sz w:val="24"/>
        </w:rPr>
      </w:pPr>
    </w:p>
    <w:p w14:paraId="7CDD4522">
      <w:r>
        <w:rPr>
          <w:b/>
          <w:sz w:val="24"/>
        </w:rPr>
        <w:t>Query transformation</w:t>
      </w:r>
    </w:p>
    <w:p w14:paraId="7806725F">
      <w:r>
        <w:t>The final-generation prompt requires answers to use only supplied context for document-grounded claims, preserve source/page information, avoid invented citations, and explicitly state when evidence is insufficient. Operational descriptions may answer a concept even when the manual does not contain a formal definition sentence.</w:t>
      </w:r>
    </w:p>
    <w:p w14:paraId="19D67EA6">
      <w:pPr>
        <w:pStyle w:val="2"/>
        <w:spacing w:before="300" w:after="120"/>
      </w:pPr>
      <w:r>
        <w:t>Advanced RAG Components</w:t>
      </w:r>
    </w:p>
    <w:tbl>
      <w:tblPr>
        <w:tblStyle w:val="9"/>
        <w:tblW w:w="101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9"/>
        <w:gridCol w:w="7150"/>
      </w:tblGrid>
      <w:tr w14:paraId="3640D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8" w:hRule="atLeast"/>
        </w:trPr>
        <w:tc>
          <w:tcPr>
            <w:tcW w:w="3029" w:type="dxa"/>
            <w:shd w:val="clear" w:color="auto" w:fill="D9E2F3"/>
          </w:tcPr>
          <w:p w14:paraId="05C941C1">
            <w:r>
              <w:t>Layer</w:t>
            </w:r>
          </w:p>
        </w:tc>
        <w:tc>
          <w:tcPr>
            <w:tcW w:w="7150" w:type="dxa"/>
            <w:shd w:val="clear" w:color="auto" w:fill="D9E2F3"/>
          </w:tcPr>
          <w:p w14:paraId="4082B03F">
            <w:r>
              <w:t>Current best option</w:t>
            </w:r>
          </w:p>
        </w:tc>
      </w:tr>
      <w:tr w14:paraId="5BFE1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02" w:hRule="atLeast"/>
        </w:trPr>
        <w:tc>
          <w:tcPr>
            <w:tcW w:w="3029" w:type="dxa"/>
          </w:tcPr>
          <w:p w14:paraId="366F36F8">
            <w:r>
              <w:t>PDF text extraction</w:t>
            </w:r>
          </w:p>
        </w:tc>
        <w:tc>
          <w:tcPr>
            <w:tcW w:w="7150" w:type="dxa"/>
          </w:tcPr>
          <w:p w14:paraId="047BAB21">
            <w:r>
              <w:t>Tesseract OCR-first (ara+eng, PSM 6) + per-page sanity check + native fallback only when OCR is weak</w:t>
            </w:r>
          </w:p>
        </w:tc>
      </w:tr>
      <w:tr w14:paraId="66BFB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8" w:hRule="atLeast"/>
        </w:trPr>
        <w:tc>
          <w:tcPr>
            <w:tcW w:w="3029" w:type="dxa"/>
          </w:tcPr>
          <w:p w14:paraId="52D42167">
            <w:r>
              <w:t>OCR preprocessing</w:t>
            </w:r>
          </w:p>
        </w:tc>
        <w:tc>
          <w:tcPr>
            <w:tcW w:w="7150" w:type="dxa"/>
          </w:tcPr>
          <w:p w14:paraId="4C50ED72">
            <w:r>
              <w:t>Grayscale + median blur + contrast normalization + Otsu thresholding</w:t>
            </w:r>
          </w:p>
        </w:tc>
      </w:tr>
      <w:tr w14:paraId="314D7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8" w:hRule="atLeast"/>
        </w:trPr>
        <w:tc>
          <w:tcPr>
            <w:tcW w:w="3029" w:type="dxa"/>
          </w:tcPr>
          <w:p w14:paraId="1D804484">
            <w:r>
              <w:t>Headings</w:t>
            </w:r>
          </w:p>
        </w:tc>
        <w:tc>
          <w:tcPr>
            <w:tcW w:w="7150" w:type="dxa"/>
          </w:tcPr>
          <w:p w14:paraId="30255A34">
            <w:r>
              <w:t>OCR heading heuristics for procedure/section detection</w:t>
            </w:r>
          </w:p>
        </w:tc>
      </w:tr>
      <w:tr w14:paraId="38095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8" w:hRule="atLeast"/>
        </w:trPr>
        <w:tc>
          <w:tcPr>
            <w:tcW w:w="3029" w:type="dxa"/>
          </w:tcPr>
          <w:p w14:paraId="0FFA1028">
            <w:r>
              <w:t>Tables</w:t>
            </w:r>
          </w:p>
        </w:tc>
        <w:tc>
          <w:tcPr>
            <w:tcW w:w="7150" w:type="dxa"/>
          </w:tcPr>
          <w:p w14:paraId="0918FF0B">
            <w:r>
              <w:t>pdfplumber geometric detection + per-cell Tesseract OCR</w:t>
            </w:r>
          </w:p>
        </w:tc>
      </w:tr>
      <w:tr w14:paraId="39E24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8" w:hRule="atLeast"/>
        </w:trPr>
        <w:tc>
          <w:tcPr>
            <w:tcW w:w="3029" w:type="dxa"/>
          </w:tcPr>
          <w:p w14:paraId="5B24BBEF">
            <w:r>
              <w:t>Chunking</w:t>
            </w:r>
          </w:p>
        </w:tc>
        <w:tc>
          <w:tcPr>
            <w:tcW w:w="7150" w:type="dxa"/>
          </w:tcPr>
          <w:p w14:paraId="0AB0D068">
            <w:r>
              <w:t>Manual-Procedure (Parent-Child optional)</w:t>
            </w:r>
          </w:p>
        </w:tc>
      </w:tr>
      <w:tr w14:paraId="4F1B7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8" w:hRule="atLeast"/>
        </w:trPr>
        <w:tc>
          <w:tcPr>
            <w:tcW w:w="3029" w:type="dxa"/>
          </w:tcPr>
          <w:p w14:paraId="55B5FB82">
            <w:r>
              <w:t>Embedding</w:t>
            </w:r>
          </w:p>
        </w:tc>
        <w:tc>
          <w:tcPr>
            <w:tcW w:w="7150" w:type="dxa"/>
          </w:tcPr>
          <w:p w14:paraId="1FAAAFA3">
            <w:r>
              <w:t>BAAI/bge-m3</w:t>
            </w:r>
          </w:p>
        </w:tc>
      </w:tr>
      <w:tr w14:paraId="4405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8" w:hRule="atLeast"/>
        </w:trPr>
        <w:tc>
          <w:tcPr>
            <w:tcW w:w="3029" w:type="dxa"/>
          </w:tcPr>
          <w:p w14:paraId="13152DE3">
            <w:r>
              <w:t>Retrieval</w:t>
            </w:r>
          </w:p>
        </w:tc>
        <w:tc>
          <w:tcPr>
            <w:tcW w:w="7150" w:type="dxa"/>
          </w:tcPr>
          <w:p w14:paraId="4B5C329F">
            <w:r>
              <w:t>Hybrid semantic + keyword, fused</w:t>
            </w:r>
          </w:p>
        </w:tc>
      </w:tr>
      <w:tr w14:paraId="79869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8" w:hRule="atLeast"/>
        </w:trPr>
        <w:tc>
          <w:tcPr>
            <w:tcW w:w="3029" w:type="dxa"/>
          </w:tcPr>
          <w:p w14:paraId="732BB179">
            <w:r>
              <w:t>Routing</w:t>
            </w:r>
          </w:p>
        </w:tc>
        <w:tc>
          <w:tcPr>
            <w:tcW w:w="7150" w:type="dxa"/>
          </w:tcPr>
          <w:p w14:paraId="19EE3E33">
            <w:r>
              <w:t>Deterministic document-sensitive shortcut + LLM router fallback</w:t>
            </w:r>
          </w:p>
        </w:tc>
      </w:tr>
      <w:tr w14:paraId="4BC91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02" w:hRule="atLeast"/>
        </w:trPr>
        <w:tc>
          <w:tcPr>
            <w:tcW w:w="3029" w:type="dxa"/>
          </w:tcPr>
          <w:p w14:paraId="428186D6">
            <w:r>
              <w:t>Advanced RAG</w:t>
            </w:r>
          </w:p>
        </w:tc>
        <w:tc>
          <w:tcPr>
            <w:tcW w:w="7150" w:type="dxa"/>
          </w:tcPr>
          <w:p w14:paraId="2EA1658B">
            <w:r>
              <w:t>Rewriting, Multi-Query, Decomposition, HyDE, Self-Query, Reranking, Compression, CRAG</w:t>
            </w:r>
          </w:p>
        </w:tc>
      </w:tr>
      <w:tr w14:paraId="6682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8" w:hRule="atLeast"/>
        </w:trPr>
        <w:tc>
          <w:tcPr>
            <w:tcW w:w="3029" w:type="dxa"/>
          </w:tcPr>
          <w:p w14:paraId="76DAA89E">
            <w:r>
              <w:t>Generation</w:t>
            </w:r>
          </w:p>
        </w:tc>
        <w:tc>
          <w:tcPr>
            <w:tcW w:w="7150" w:type="dxa"/>
          </w:tcPr>
          <w:p w14:paraId="145DC733">
            <w:r>
              <w:t>Grounded final prompt with source/page citation requirements</w:t>
            </w:r>
          </w:p>
        </w:tc>
      </w:tr>
      <w:tr w14:paraId="41C5C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3029" w:type="dxa"/>
          </w:tcPr>
          <w:p w14:paraId="76743CC6">
            <w:r>
              <w:t>Evaluation/reporting</w:t>
            </w:r>
          </w:p>
        </w:tc>
        <w:tc>
          <w:tcPr>
            <w:tcW w:w="7150" w:type="dxa"/>
          </w:tcPr>
          <w:p w14:paraId="6CABCB7F">
            <w:r>
              <w:t>Retrieval confidence + token/cost breakdown + latency + per-technique details</w:t>
            </w:r>
          </w:p>
        </w:tc>
      </w:tr>
    </w:tbl>
    <w:p w14:paraId="55F22D05"/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B4F45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Normal (Web)"/>
    <w:basedOn w:val="1"/>
    <w:uiPriority w:val="0"/>
    <w:rPr>
      <w:sz w:val="24"/>
      <w:szCs w:val="24"/>
    </w:rPr>
  </w:style>
  <w:style w:type="character" w:styleId="17">
    <w:name w:val="Strong"/>
    <w:basedOn w:val="8"/>
    <w:qFormat/>
    <w:uiPriority w:val="0"/>
    <w:rPr>
      <w:b/>
      <w:bCs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962</Words>
  <Characters>6454</Characters>
  <TotalTime>0</TotalTime>
  <ScaleCrop>false</ScaleCrop>
  <LinksUpToDate>false</LinksUpToDate>
  <CharactersWithSpaces>7333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2026-09-05T16:24:00Z</dcterms:created>
  <dc:creator>Un-named</dc:creator>
  <cp:lastModifiedBy>Mariam Adel Abass</cp:lastModifiedBy>
  <dcterms:modified xsi:type="dcterms:W3CDTF">2026-09-08T01:21:21Z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eyJoZGlkIjoiYjEyMmE3N2MxZTBhMDA0YTdkMWY4YmEwMDVhY2RlYWQiLCJ1c2VySWQiOiIxNDQzMTA5NTQ0MzAyNyJ9</vt:lpwstr>
  </property>
  <property fmtid="{D5CDD505-2E9C-101B-9397-08002B2CF9AE}" pid="3" name="KSOProductBuildVer">
    <vt:lpwstr>1033-12.1.0.28485</vt:lpwstr>
  </property>
  <property fmtid="{D5CDD505-2E9C-101B-9397-08002B2CF9AE}" pid="4" name="ICV">
    <vt:lpwstr>C95255585F6C4FC193E190E8529C30A4_12</vt:lpwstr>
  </property>
</Properties>
</file>