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charts/chart1.xml" ContentType="application/vnd.openxmlformats-officedocument.drawingml.chart+xml"/>
  <Override PartName="/word/charts/_rels/chart3.xml.rels" ContentType="application/vnd.openxmlformats-package.relationships+xml"/>
  <Override PartName="/word/charts/_rels/chart2.xml.rels" ContentType="application/vnd.openxmlformats-package.relationships+xml"/>
  <Override PartName="/word/charts/_rels/chart1.xml.rels" ContentType="application/vnd.openxmlformats-package.relationships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embeddings/Microsoft_Excel_Worksheet1.xlsx" ContentType="application/vnd.openxmlformats-officedocument.spreadsheetml.sheet"/>
  <Override PartName="/word/embeddings/Microsoft_Excel_Worksheet.xlsx" ContentType="application/vnd.openxmlformats-officedocument.spreadsheetml.sheet"/>
  <Override PartName="/word/embeddings/Microsoft_Excel_Worksheet2.xlsx" ContentType="application/vnd.openxmlformats-officedocument.spreadsheetml.sheet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1F3864"/>
          <w:sz w:val="44"/>
          <w:szCs w:val="44"/>
        </w:rPr>
        <w:t>TEST STATUS REPORT</w:t>
      </w:r>
    </w:p>
    <w:p>
      <w:pPr>
        <w:pStyle w:val="Normal"/>
        <w:pBdr>
          <w:bottom w:val="single" w:sz="12" w:space="8" w:color="1F3864"/>
        </w:pBdr>
        <w:spacing w:before="0" w:after="60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i/>
          <w:iCs/>
          <w:color w:val="595959"/>
          <w:sz w:val="26"/>
          <w:szCs w:val="26"/>
        </w:rPr>
        <w:t>Banking System — Database Testing</w:t>
      </w:r>
    </w:p>
    <w:p>
      <w:pPr>
        <w:pStyle w:val="Heading1"/>
        <w:pBdr>
          <w:bottom w:val="single" w:sz="6" w:space="4" w:color="1F3864"/>
        </w:pBdr>
        <w:spacing w:before="320" w:after="14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1F3864"/>
        </w:rPr>
        <w:t>1.  Scope</w:t>
      </w:r>
    </w:p>
    <w:p>
      <w:pPr>
        <w:pStyle w:val="Normal"/>
        <w:spacing w:before="0" w:after="10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Database</w:t>
      </w:r>
    </w:p>
    <w:p>
      <w:pPr>
        <w:pStyle w:val="Heading1"/>
        <w:pBdr>
          <w:bottom w:val="single" w:sz="6" w:space="4" w:color="1F3864"/>
        </w:pBdr>
        <w:spacing w:before="320" w:after="14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1F3864"/>
        </w:rPr>
        <w:t>2.  Test Environment</w:t>
      </w:r>
    </w:p>
    <w:tbl>
      <w:tblPr>
        <w:tblW w:w="5000" w:type="pct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6024"/>
        <w:gridCol w:w="4015"/>
      </w:tblGrid>
      <w:tr>
        <w:trPr/>
        <w:tc>
          <w:tcPr>
            <w:tcW w:w="6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Operating System</w:t>
            </w:r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Windows 10 Pro,UBUNTO 22.04</w:t>
            </w:r>
          </w:p>
        </w:tc>
      </w:tr>
      <w:tr>
        <w:trPr/>
        <w:tc>
          <w:tcPr>
            <w:tcW w:w="6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Database</w:t>
            </w:r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b/>
                <w:b/>
                <w:bCs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 xml:space="preserve">MySQL 8.0.43 </w:t>
            </w:r>
          </w:p>
        </w:tc>
      </w:tr>
      <w:tr>
        <w:trPr/>
        <w:tc>
          <w:tcPr>
            <w:tcW w:w="60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b/>
                <w:b/>
                <w:bCs/>
                <w:color w:val="162A4A"/>
                <w:sz w:val="20"/>
                <w:szCs w:val="20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DBMS</w:t>
            </w:r>
          </w:p>
        </w:tc>
        <w:tc>
          <w:tcPr>
            <w:tcW w:w="40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  <w:b/>
                <w:b/>
                <w:bCs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My SQLWorkbench, DBeaver CE</w:t>
            </w:r>
          </w:p>
        </w:tc>
      </w:tr>
    </w:tbl>
    <w:p>
      <w:pPr>
        <w:pStyle w:val="Heading1"/>
        <w:pBdr>
          <w:bottom w:val="single" w:sz="6" w:space="4" w:color="1F3864"/>
        </w:pBdr>
        <w:spacing w:before="320" w:after="14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1F3864"/>
        </w:rPr>
        <w:t>3.  Status of Test Cases</w:t>
      </w:r>
    </w:p>
    <w:tbl>
      <w:tblPr>
        <w:tblpPr w:bottomFromText="0" w:horzAnchor="margin" w:leftFromText="180" w:rightFromText="180" w:tblpX="0" w:tblpY="32" w:topFromText="0" w:vertAnchor="text"/>
        <w:tblW w:w="5000" w:type="pct"/>
        <w:jc w:val="left"/>
        <w:tblInd w:w="-5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6626"/>
        <w:gridCol w:w="3413"/>
      </w:tblGrid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FFFFFF"/>
                <w:sz w:val="20"/>
                <w:szCs w:val="20"/>
              </w:rPr>
              <w:t>Total number of Test Cases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F3864"/>
              </w:rPr>
              <w:t>181</w:t>
            </w:r>
          </w:p>
        </w:tc>
      </w:tr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Pass test cases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bCs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</w:rPr>
              <w:t>132</w:t>
            </w:r>
          </w:p>
        </w:tc>
      </w:tr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Fail test cases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  <w:b/>
                <w:b/>
                <w:bCs/>
                <w:color w:val="EE0000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EE0000"/>
              </w:rPr>
              <w:t>47</w:t>
            </w:r>
          </w:p>
        </w:tc>
      </w:tr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Blocked test cases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2</w:t>
            </w:r>
          </w:p>
        </w:tc>
      </w:tr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Not Executed test cases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595959"/>
              </w:rPr>
              <w:t>0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/>
        <w:drawing>
          <wp:inline distT="0" distB="0" distL="0" distR="0">
            <wp:extent cx="5485130" cy="2865120"/>
            <wp:effectExtent l="0" t="0" r="0" b="0"/>
            <wp:docPr id="1" name="Object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Heading1"/>
        <w:pBdr>
          <w:bottom w:val="single" w:sz="6" w:space="4" w:color="1F3864"/>
        </w:pBdr>
        <w:spacing w:before="320" w:after="14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1F3864"/>
        </w:rPr>
        <w:t>4.  Active Defects by Severities</w:t>
      </w:r>
    </w:p>
    <w:tbl>
      <w:tblPr>
        <w:tblpPr w:bottomFromText="0" w:horzAnchor="text" w:leftFromText="180" w:rightFromText="180" w:tblpX="0" w:tblpY="912" w:topFromText="0" w:vertAnchor="margin"/>
        <w:tblW w:w="5000" w:type="pct"/>
        <w:jc w:val="left"/>
        <w:tblInd w:w="-5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6626"/>
        <w:gridCol w:w="3413"/>
      </w:tblGrid>
      <w:tr>
        <w:trPr>
          <w:trHeight w:val="231" w:hRule="atLeast"/>
        </w:trPr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FFFFFF"/>
                <w:sz w:val="20"/>
                <w:szCs w:val="20"/>
              </w:rPr>
              <w:t>Total number of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FFFFFF" w:themeColor="background1"/>
              </w:rPr>
              <w:t>43</w:t>
            </w:r>
          </w:p>
        </w:tc>
      </w:tr>
      <w:tr>
        <w:trPr>
          <w:trHeight w:val="220" w:hRule="atLeast"/>
        </w:trPr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Critical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3</w:t>
            </w:r>
          </w:p>
        </w:tc>
      </w:tr>
      <w:tr>
        <w:trPr>
          <w:trHeight w:val="231" w:hRule="atLeast"/>
        </w:trPr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High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18</w:t>
            </w:r>
          </w:p>
        </w:tc>
      </w:tr>
      <w:tr>
        <w:trPr>
          <w:trHeight w:val="220" w:hRule="atLeast"/>
        </w:trPr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Medium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17</w:t>
            </w:r>
          </w:p>
        </w:tc>
      </w:tr>
      <w:tr>
        <w:trPr>
          <w:trHeight w:val="231" w:hRule="atLeast"/>
        </w:trPr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Low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5</w:t>
            </w:r>
          </w:p>
        </w:tc>
      </w:tr>
    </w:tbl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/>
        <w:drawing>
          <wp:inline distT="0" distB="0" distL="0" distR="0">
            <wp:extent cx="5486400" cy="3200400"/>
            <wp:effectExtent l="0" t="0" r="0" b="0"/>
            <wp:docPr id="2" name="Object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Heading1"/>
        <w:pBdr>
          <w:bottom w:val="single" w:sz="6" w:space="4" w:color="1F3864"/>
        </w:pBdr>
        <w:spacing w:before="320" w:after="14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1F3864"/>
        </w:rPr>
        <w:t>5.  Active Defects by Priority</w:t>
      </w:r>
    </w:p>
    <w:tbl>
      <w:tblPr>
        <w:tblpPr w:bottomFromText="0" w:horzAnchor="text" w:leftFromText="180" w:rightFromText="180" w:tblpX="0" w:tblpY="1" w:topFromText="0" w:vertAnchor="text"/>
        <w:tblW w:w="5000" w:type="pct"/>
        <w:jc w:val="left"/>
        <w:tblInd w:w="-5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  <w:tblLook w:val="04a0" w:noHBand="0" w:noVBand="1" w:firstColumn="1" w:lastRow="0" w:lastColumn="0" w:firstRow="1"/>
      </w:tblPr>
      <w:tblGrid>
        <w:gridCol w:w="6626"/>
        <w:gridCol w:w="3413"/>
      </w:tblGrid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FFFFFF"/>
                <w:sz w:val="20"/>
                <w:szCs w:val="20"/>
              </w:rPr>
              <w:t>Total number of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color w:val="FFFFFF" w:themeColor="background1"/>
              </w:rPr>
              <w:t>43</w:t>
            </w:r>
          </w:p>
        </w:tc>
      </w:tr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High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25</w:t>
            </w:r>
          </w:p>
        </w:tc>
      </w:tr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Medium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15</w:t>
            </w:r>
          </w:p>
        </w:tc>
      </w:tr>
      <w:tr>
        <w:trPr/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DCE6F1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  <w:b/>
                <w:bCs/>
                <w:color w:val="162A4A"/>
                <w:sz w:val="20"/>
                <w:szCs w:val="20"/>
              </w:rPr>
              <w:t>Number of Low Defects</w:t>
            </w:r>
          </w:p>
        </w:tc>
        <w:tc>
          <w:tcPr>
            <w:tcW w:w="341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 w:asciiTheme="majorBidi" w:cstheme="majorBidi" w:hAnsiTheme="majorBidi"/>
              </w:rPr>
            </w:pPr>
            <w:r>
              <w:rPr>
                <w:rFonts w:cs="Times New Roman" w:ascii="Times New Roman" w:hAnsi="Times New Roman" w:asciiTheme="majorBidi" w:cstheme="majorBidi" w:hAnsiTheme="majorBidi"/>
              </w:rPr>
              <w:t>3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br/>
      </w:r>
      <w:r>
        <w:rPr/>
        <w:drawing>
          <wp:inline distT="0" distB="0" distL="0" distR="0">
            <wp:extent cx="5486400" cy="3200400"/>
            <wp:effectExtent l="0" t="0" r="0" b="0"/>
            <wp:docPr id="3" name="Object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Heading1"/>
        <w:pBdr>
          <w:bottom w:val="single" w:sz="6" w:space="4" w:color="1F3864"/>
        </w:pBdr>
        <w:spacing w:before="320" w:after="14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1F3864"/>
        </w:rPr>
        <w:t>5.  Testing Types</w:t>
      </w:r>
    </w:p>
    <w:p>
      <w:pPr>
        <w:pStyle w:val="ListParagraph"/>
        <w:numPr>
          <w:ilvl w:val="0"/>
          <w:numId w:val="4"/>
        </w:numPr>
        <w:spacing w:before="0" w:after="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Functional Testing</w:t>
      </w:r>
    </w:p>
    <w:p>
      <w:pPr>
        <w:pStyle w:val="ListParagraph"/>
        <w:numPr>
          <w:ilvl w:val="0"/>
          <w:numId w:val="1"/>
        </w:numPr>
        <w:spacing w:before="0" w:after="8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>Database Testing</w:t>
      </w:r>
    </w:p>
    <w:p>
      <w:pPr>
        <w:pStyle w:val="Heading1"/>
        <w:pBdr>
          <w:bottom w:val="single" w:sz="6" w:space="4" w:color="1F3864"/>
        </w:pBdr>
        <w:spacing w:before="320" w:after="140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  <w:color w:val="1F3864"/>
        </w:rPr>
        <w:t>6.  Status / Summary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 xml:space="preserve">The Banking Database was tested using Functional and Database Test Cases, with a total of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181 test cases executed</w:t>
      </w:r>
      <w:r>
        <w:rPr>
          <w:rFonts w:cs="Times New Roman" w:ascii="Times New Roman" w:hAnsi="Times New Roman" w:asciiTheme="majorBidi" w:cstheme="majorBidi" w:hAnsiTheme="majorBidi"/>
        </w:rPr>
        <w:t xml:space="preserve"> resulting in a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72.92% pass rate</w:t>
      </w:r>
      <w:r>
        <w:rPr>
          <w:rFonts w:cs="Times New Roman" w:ascii="Times New Roman" w:hAnsi="Times New Roman" w:asciiTheme="majorBidi" w:cstheme="majorBidi" w:hAnsiTheme="majorBidi"/>
        </w:rPr>
        <w:t xml:space="preserve"> (132 Passed) and a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25.96% fail rate</w:t>
      </w:r>
      <w:r>
        <w:rPr>
          <w:rFonts w:cs="Times New Roman" w:ascii="Times New Roman" w:hAnsi="Times New Roman" w:asciiTheme="majorBidi" w:cstheme="majorBidi" w:hAnsiTheme="majorBidi"/>
        </w:rPr>
        <w:t xml:space="preserve"> (47 Failed).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</w:rPr>
        <w:t xml:space="preserve">A total of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43 defects</w:t>
      </w:r>
      <w:r>
        <w:rPr>
          <w:rFonts w:cs="Times New Roman" w:ascii="Times New Roman" w:hAnsi="Times New Roman" w:asciiTheme="majorBidi" w:cstheme="majorBidi" w:hAnsiTheme="majorBidi"/>
        </w:rPr>
        <w:t xml:space="preserve"> were identified across execution categorized by </w:t>
      </w:r>
      <w:r>
        <w:rPr>
          <w:rFonts w:cs="Times New Roman" w:ascii="Times New Roman" w:hAnsi="Times New Roman" w:asciiTheme="majorBidi" w:cstheme="majorBidi" w:hAnsiTheme="majorBidi"/>
          <w:b/>
          <w:bCs/>
        </w:rPr>
        <w:t>severity</w:t>
      </w:r>
      <w:r>
        <w:rPr>
          <w:rFonts w:cs="Times New Roman" w:ascii="Times New Roman" w:hAnsi="Times New Roman" w:asciiTheme="majorBidi" w:cstheme="majorBidi" w:hAnsiTheme="majorBidi"/>
        </w:rPr>
        <w:t>: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Critical:</w:t>
      </w:r>
      <w:r>
        <w:rPr>
          <w:rFonts w:cs="Times New Roman" w:ascii="Times New Roman" w:hAnsi="Times New Roman" w:asciiTheme="majorBidi" w:cstheme="majorBidi" w:hAnsiTheme="majorBidi"/>
        </w:rPr>
        <w:t xml:space="preserve"> 3 (6.97.0%)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High:</w:t>
      </w:r>
      <w:r>
        <w:rPr>
          <w:rFonts w:cs="Times New Roman" w:ascii="Times New Roman" w:hAnsi="Times New Roman" w:asciiTheme="majorBidi" w:cstheme="majorBidi" w:hAnsiTheme="majorBidi"/>
        </w:rPr>
        <w:t xml:space="preserve"> 18 (41.86%)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Medium:</w:t>
      </w:r>
      <w:r>
        <w:rPr>
          <w:rFonts w:cs="Times New Roman" w:ascii="Times New Roman" w:hAnsi="Times New Roman" w:asciiTheme="majorBidi" w:cstheme="majorBidi" w:hAnsiTheme="majorBidi"/>
        </w:rPr>
        <w:t xml:space="preserve"> 17 (39.53%)</w:t>
      </w:r>
    </w:p>
    <w:p>
      <w:pPr>
        <w:pStyle w:val="Normal"/>
        <w:numPr>
          <w:ilvl w:val="0"/>
          <w:numId w:val="2"/>
        </w:numPr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ascii="Times New Roman" w:hAnsi="Times New Roman" w:asciiTheme="majorBidi" w:cstheme="majorBidi" w:hAnsiTheme="majorBidi"/>
          <w:b/>
          <w:bCs/>
        </w:rPr>
        <w:t>Low:</w:t>
      </w:r>
      <w:r>
        <w:rPr>
          <w:rFonts w:cs="Times New Roman" w:ascii="Times New Roman" w:hAnsi="Times New Roman" w:asciiTheme="majorBidi" w:cstheme="majorBidi" w:hAnsiTheme="majorBidi"/>
        </w:rPr>
        <w:t xml:space="preserve"> 5 (11.62%)</w:t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rPr>
          <w:rFonts w:ascii="Times New Roman" w:hAnsi="Times New Roman" w:cs="Times New Roman" w:asciiTheme="majorBidi" w:cstheme="majorBidi" w:hAnsiTheme="majorBidi"/>
        </w:rPr>
      </w:pPr>
      <w:r>
        <w:rPr>
          <w:rFonts w:cs="Times New Roman" w:cstheme="majorBidi" w:ascii="Times New Roman" w:hAnsi="Times New Roman"/>
        </w:rPr>
      </w:r>
    </w:p>
    <w:p>
      <w:pPr>
        <w:pStyle w:val="Normal"/>
        <w:tabs>
          <w:tab w:val="clear" w:pos="720"/>
          <w:tab w:val="left" w:pos="3612" w:leader="none"/>
        </w:tabs>
        <w:rPr>
          <w:rFonts w:ascii="Times New Roman" w:hAnsi="Times New Roman" w:cs="Times New Roman" w:asciiTheme="majorBidi" w:cstheme="majorBidi" w:hAnsiTheme="majorBidi"/>
        </w:rPr>
      </w:pPr>
      <w:r>
        <w:rPr/>
      </w:r>
    </w:p>
    <w:sectPr>
      <w:headerReference w:type="default" r:id="rId5"/>
      <w:footerReference w:type="default" r:id="rId6"/>
      <w:type w:val="nextPage"/>
      <w:pgSz w:w="12240" w:h="15840"/>
      <w:pgMar w:left="1100" w:right="1100" w:gutter="0" w:header="708" w:top="1000" w:footer="708" w:bottom="100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sz w:val="16"/>
        <w:szCs w:val="16"/>
        <w:color w:val="595959"/>
      </w:rPr>
      <w:instrText xml:space="preserve"> PAGE </w:instrText>
    </w:r>
    <w:r>
      <w:rPr>
        <w:sz w:val="16"/>
        <w:szCs w:val="16"/>
        <w:color w:val="595959"/>
      </w:rPr>
      <w:fldChar w:fldCharType="separate"/>
    </w:r>
    <w:r>
      <w:rPr>
        <w:sz w:val="16"/>
        <w:szCs w:val="16"/>
        <w:color w:val="595959"/>
      </w:rPr>
      <w:t>2</w:t>
    </w:r>
    <w:r>
      <w:rPr>
        <w:sz w:val="16"/>
        <w:szCs w:val="16"/>
        <w:color w:val="595959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sz w:val="16"/>
        <w:szCs w:val="16"/>
        <w:color w:val="595959"/>
      </w:rPr>
      <w:instrText xml:space="preserve"> NUMPAGES </w:instrText>
    </w:r>
    <w:r>
      <w:rPr>
        <w:sz w:val="16"/>
        <w:szCs w:val="16"/>
        <w:color w:val="595959"/>
      </w:rPr>
      <w:fldChar w:fldCharType="separate"/>
    </w:r>
    <w:r>
      <w:rPr>
        <w:sz w:val="16"/>
        <w:szCs w:val="16"/>
        <w:color w:val="595959"/>
      </w:rPr>
      <w:t>3</w:t>
    </w:r>
    <w:r>
      <w:rPr>
        <w:sz w:val="16"/>
        <w:szCs w:val="16"/>
        <w:color w:val="595959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jc w:val="right"/>
      <w:rPr/>
    </w:pPr>
    <w:r>
      <w:rPr>
        <w:color w:val="595959"/>
        <w:sz w:val="16"/>
        <w:szCs w:val="16"/>
      </w:rPr>
      <w:t>Library Management System — Database Testing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62626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2"/>
      <w:szCs w:val="22"/>
      <w:lang w:val="en-US" w:eastAsia="en-US" w:bidi="ar-SA"/>
    </w:rPr>
  </w:style>
  <w:style w:type="paragraph" w:styleId="Heading1">
    <w:name w:val="Heading 1"/>
    <w:link w:val="Heading1Char"/>
    <w:uiPriority w:val="9"/>
    <w:qFormat/>
    <w:pPr>
      <w:widowControl/>
      <w:bidi w:val="0"/>
      <w:spacing w:before="0" w:after="0"/>
      <w:jc w:val="left"/>
      <w:outlineLvl w:val="0"/>
    </w:pPr>
    <w:rPr>
      <w:rFonts w:ascii="Calibri" w:hAnsi="Calibri" w:eastAsia="Calibri" w:cs="Calibri"/>
      <w:color w:val="2E74B5"/>
      <w:kern w:val="0"/>
      <w:sz w:val="32"/>
      <w:szCs w:val="32"/>
      <w:lang w:val="en-US" w:eastAsia="en-US" w:bidi="ar-SA"/>
    </w:rPr>
  </w:style>
  <w:style w:type="paragraph" w:styleId="Heading2">
    <w:name w:val="Heading 2"/>
    <w:uiPriority w:val="9"/>
    <w:semiHidden/>
    <w:unhideWhenUsed/>
    <w:qFormat/>
    <w:pPr>
      <w:widowControl/>
      <w:bidi w:val="0"/>
      <w:spacing w:before="0" w:after="0"/>
      <w:jc w:val="left"/>
      <w:outlineLvl w:val="1"/>
    </w:pPr>
    <w:rPr>
      <w:rFonts w:ascii="Calibri" w:hAnsi="Calibri" w:eastAsia="Calibri" w:cs="Calibri"/>
      <w:color w:val="2E74B5"/>
      <w:kern w:val="0"/>
      <w:sz w:val="26"/>
      <w:szCs w:val="26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left"/>
      <w:outlineLvl w:val="2"/>
    </w:pPr>
    <w:rPr>
      <w:rFonts w:ascii="Calibri" w:hAnsi="Calibri" w:eastAsia="Calibri" w:cs="Calibri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Calibri" w:hAnsi="Calibri" w:eastAsia="Calibri" w:cs="Calibri"/>
      <w:i/>
      <w:iCs/>
      <w:color w:val="2E74B5"/>
      <w:kern w:val="0"/>
      <w:sz w:val="22"/>
      <w:szCs w:val="22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Calibri" w:hAnsi="Calibri" w:eastAsia="Calibri" w:cs="Calibri"/>
      <w:color w:val="2E74B5"/>
      <w:kern w:val="0"/>
      <w:sz w:val="22"/>
      <w:szCs w:val="22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Calibri" w:hAnsi="Calibri" w:eastAsia="Calibri" w:cs="Calibri"/>
      <w:color w:val="1F4D78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 w:customStyle="1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 w:customStyle="1">
    <w:name w:val="Endnote Text Char"/>
    <w:link w:val="Endnote"/>
    <w:uiPriority w:val="99"/>
    <w:semiHidden/>
    <w:unhideWhenUsed/>
    <w:qFormat/>
    <w:rPr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624b63"/>
    <w:rPr>
      <w:color w:val="2E74B5"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62626"/>
      <w:kern w:val="0"/>
      <w:sz w:val="22"/>
      <w:szCs w:val="22"/>
      <w:lang w:val="en-US" w:eastAsia="en-US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2"/>
      <w:szCs w:val="22"/>
      <w:lang w:val="en-US" w:eastAsia="en-US" w:bidi="ar-SA"/>
    </w:rPr>
  </w:style>
  <w:style w:type="paragraph" w:styleId="Footnote">
    <w:name w:val="Footnote Text"/>
    <w:link w:val="Foot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0"/>
      <w:szCs w:val="20"/>
      <w:lang w:val="en-US" w:eastAsia="en-US" w:bidi="ar-SA"/>
    </w:rPr>
  </w:style>
  <w:style w:type="paragraph" w:styleId="Endnote">
    <w:name w:val="Endnote Text"/>
    <w:link w:val="EndnoteTextChar"/>
    <w:uiPriority w:val="99"/>
    <w:semiHidden/>
    <w:unhideWhenUsed/>
    <w:pPr>
      <w:widowControl/>
      <w:bidi w:val="0"/>
      <w:spacing w:before="0" w:after="0"/>
      <w:jc w:val="left"/>
    </w:pPr>
    <w:rPr>
      <w:rFonts w:ascii="Calibri" w:hAnsi="Calibri" w:eastAsia="Calibri" w:cs="Calibri"/>
      <w:color w:val="262626"/>
      <w:kern w:val="0"/>
      <w:sz w:val="20"/>
      <w:szCs w:val="20"/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.xlsx"/>
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1.xlsx"/>
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Microsoft_Excel_Worksheet2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1" lang="en-US" sz="1600" spc="-1" strike="noStrike">
                <a:solidFill>
                  <a:srgbClr val="808080"/>
                </a:solidFill>
                <a:latin typeface="Calibri Light"/>
              </a:defRPr>
            </a:pPr>
            <a:r>
              <a:rPr b="1" lang="en-US" sz="1600" spc="-1" strike="noStrike">
                <a:solidFill>
                  <a:srgbClr val="808080"/>
                </a:solidFill>
                <a:latin typeface="Calibri Light"/>
              </a:rPr>
              <a:t>Test Case Results (Total: 181)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Test Cases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explosion val="0"/>
          <c:dPt>
            <c:idx val="0"/>
            <c:spPr>
              <a:gradFill>
                <a:gsLst>
                  <a:gs pos="0">
                    <a:srgbClr val="4472c4"/>
                  </a:gs>
                  <a:gs pos="100000">
                    <a:srgbClr val="8faadc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Pt>
            <c:idx val="1"/>
            <c:spPr>
              <a:gradFill>
                <a:gsLst>
                  <a:gs pos="0">
                    <a:srgbClr val="ed7d31"/>
                  </a:gs>
                  <a:gs pos="100000">
                    <a:srgbClr val="f4b183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Pt>
            <c:idx val="2"/>
            <c:spPr>
              <a:gradFill>
                <a:gsLst>
                  <a:gs pos="0">
                    <a:srgbClr val="a5a5a5"/>
                  </a:gs>
                  <a:gs pos="100000">
                    <a:srgbClr val="c9c9c9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Pt>
            <c:idx val="3"/>
            <c:spPr>
              <a:gradFill>
                <a:gsLst>
                  <a:gs pos="0">
                    <a:srgbClr val="ffc000"/>
                  </a:gs>
                  <a:gs pos="100000">
                    <a:srgbClr val="ffd966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Lbls>
            <c:numFmt formatCode="General" sourceLinked="0"/>
            <c:dLbl>
              <c:idx val="0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eparator>; </c:separator>
            </c:dLbl>
            <c:dLbl>
              <c:idx val="1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eparator>; </c:separator>
            </c:dLbl>
            <c:dLbl>
              <c:idx val="2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eparator>; </c:separator>
            </c:dLbl>
            <c:dLbl>
              <c:idx val="3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inEnd"/>
              <c:showLegendKey val="0"/>
              <c:showVal val="1"/>
              <c:showCatName val="0"/>
              <c:showSerName val="0"/>
              <c:showPercent val="0"/>
              <c:separator>; </c:separator>
            </c:dLbl>
            <c:txPr>
              <a:bodyPr wrap="square"/>
              <a:lstStyle/>
              <a:p>
                <a:pPr>
                  <a:defRPr b="0" sz="900" spc="-1" strike="noStrike">
                    <a:solidFill>
                      <a:srgbClr val="404040"/>
                    </a:solidFill>
                    <a:latin typeface="Calibri"/>
                  </a:defRPr>
                </a:pPr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eparator>; </c:separator>
            <c:showLeaderLines val="0"/>
          </c:dLbls>
          <c:cat>
            <c:strRef>
              <c:f>categories</c:f>
              <c:strCache>
                <c:ptCount val="4"/>
                <c:pt idx="0">
                  <c:v>Pass</c:v>
                </c:pt>
                <c:pt idx="1">
                  <c:v>Fail</c:v>
                </c:pt>
                <c:pt idx="2">
                  <c:v>Blocked</c:v>
                </c:pt>
                <c:pt idx="3">
                  <c:v>Not Executed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132</c:v>
                </c:pt>
                <c:pt idx="1">
                  <c:v>47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r"/>
      <c:overlay val="0"/>
      <c:spPr>
        <a:solidFill>
          <a:srgbClr val="ffffff">
            <a:alpha val="50000"/>
          </a:srgbClr>
        </a:solidFill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595959"/>
              </a:solidFill>
              <a:latin typeface="Calibri"/>
            </a:defRPr>
          </a:pPr>
        </a:p>
      </c:txPr>
    </c:legend>
    <c:plotVisOnly val="1"/>
    <c:dispBlanksAs val="gap"/>
  </c:chart>
  <c:spPr>
    <a:pattFill prst="ltDnDiag">
      <a:fgClr>
        <a:srgbClr val="ffffff"/>
      </a:fgClr>
      <a:bgClr>
        <a:srgbClr val="e6e6e6"/>
      </a:bgClr>
    </a:pattFill>
    <a:ln w="9360">
      <a:solidFill>
        <a:srgbClr val="d9d9d9"/>
      </a:solidFill>
      <a:round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1" lang="en-US" sz="1600" spc="-1" strike="noStrike">
                <a:solidFill>
                  <a:srgbClr val="808080"/>
                </a:solidFill>
                <a:latin typeface="Calibri Light"/>
              </a:defRPr>
            </a:pPr>
            <a:r>
              <a:rPr b="1" lang="en-US" sz="1600" spc="-1" strike="noStrike">
                <a:solidFill>
                  <a:srgbClr val="808080"/>
                </a:solidFill>
                <a:latin typeface="Calibri Light"/>
              </a:rPr>
              <a:t>Active Defects by Severity (Total: 43)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Defects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explosion val="0"/>
          <c:dPt>
            <c:idx val="0"/>
            <c:spPr>
              <a:gradFill>
                <a:gsLst>
                  <a:gs pos="0">
                    <a:srgbClr val="4472c4"/>
                  </a:gs>
                  <a:gs pos="100000">
                    <a:srgbClr val="8faadc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Pt>
            <c:idx val="1"/>
            <c:spPr>
              <a:gradFill>
                <a:gsLst>
                  <a:gs pos="0">
                    <a:srgbClr val="ed7d31"/>
                  </a:gs>
                  <a:gs pos="100000">
                    <a:srgbClr val="f4b183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Pt>
            <c:idx val="2"/>
            <c:spPr>
              <a:gradFill>
                <a:gsLst>
                  <a:gs pos="0">
                    <a:srgbClr val="a5a5a5"/>
                  </a:gs>
                  <a:gs pos="100000">
                    <a:srgbClr val="c9c9c9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Pt>
            <c:idx val="3"/>
            <c:spPr>
              <a:gradFill>
                <a:gsLst>
                  <a:gs pos="0">
                    <a:srgbClr val="ffc000"/>
                  </a:gs>
                  <a:gs pos="100000">
                    <a:srgbClr val="ffd966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Lbls>
            <c:numFmt formatCode="General" sourceLinked="0"/>
            <c:dLbl>
              <c:idx val="0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; </c:separator>
            </c:dLbl>
            <c:dLbl>
              <c:idx val="1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; </c:separator>
            </c:dLbl>
            <c:dLbl>
              <c:idx val="2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; </c:separator>
            </c:dLbl>
            <c:dLbl>
              <c:idx val="3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; </c:separator>
            </c:dLbl>
            <c:txPr>
              <a:bodyPr wrap="square"/>
              <a:lstStyle/>
              <a:p>
                <a:pPr>
                  <a:defRPr b="0" sz="900" spc="-1" strike="noStrike">
                    <a:solidFill>
                      <a:srgbClr val="404040"/>
                    </a:solidFill>
                    <a:latin typeface="Calibri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eparator>; </c:separator>
            <c:showLeaderLines val="0"/>
          </c:dLbls>
          <c:cat>
            <c:strRef>
              <c:f>categories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3</c:v>
                </c:pt>
                <c:pt idx="1">
                  <c:v>18</c:v>
                </c:pt>
                <c:pt idx="2">
                  <c:v>17</c:v>
                </c:pt>
                <c:pt idx="3">
                  <c:v>5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r"/>
      <c:overlay val="0"/>
      <c:spPr>
        <a:solidFill>
          <a:srgbClr val="ffffff">
            <a:alpha val="50000"/>
          </a:srgbClr>
        </a:solidFill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595959"/>
              </a:solidFill>
              <a:latin typeface="Calibri"/>
            </a:defRPr>
          </a:pPr>
        </a:p>
      </c:txPr>
    </c:legend>
    <c:plotVisOnly val="1"/>
    <c:dispBlanksAs val="gap"/>
  </c:chart>
  <c:spPr>
    <a:pattFill prst="ltDnDiag">
      <a:fgClr>
        <a:srgbClr val="ffffff"/>
      </a:fgClr>
      <a:bgClr>
        <a:srgbClr val="e6e6e6"/>
      </a:bgClr>
    </a:pattFill>
    <a:ln w="9360">
      <a:solidFill>
        <a:srgbClr val="d9d9d9"/>
      </a:solidFill>
      <a:round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title>
      <c:tx>
        <c:rich>
          <a:bodyPr rot="0"/>
          <a:lstStyle/>
          <a:p>
            <a:pPr>
              <a:defRPr b="1" lang="en-US" sz="1600" spc="-1" strike="noStrike">
                <a:solidFill>
                  <a:srgbClr val="808080"/>
                </a:solidFill>
                <a:latin typeface="Calibri Light"/>
              </a:defRPr>
            </a:pPr>
            <a:r>
              <a:rPr b="1" lang="en-US" sz="1600" spc="-1" strike="noStrike">
                <a:solidFill>
                  <a:srgbClr val="808080"/>
                </a:solidFill>
                <a:latin typeface="Calibri Light"/>
              </a:rPr>
              <a:t>Active Defects by Priority(Total: 43)</a:t>
            </a:r>
          </a:p>
        </c:rich>
      </c:tx>
      <c:overlay val="0"/>
      <c:spPr>
        <a:noFill/>
        <a:ln w="0">
          <a:noFill/>
        </a:ln>
      </c:spPr>
    </c:title>
    <c:autoTitleDeleted val="0"/>
    <c:plotArea>
      <c:pie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Defects</c:v>
                </c:pt>
              </c:strCache>
            </c:strRef>
          </c:tx>
          <c:spPr>
            <a:solidFill>
              <a:srgbClr val="4472c4"/>
            </a:solidFill>
            <a:ln w="0">
              <a:noFill/>
            </a:ln>
          </c:spPr>
          <c:explosion val="0"/>
          <c:dPt>
            <c:idx val="0"/>
            <c:spPr>
              <a:gradFill>
                <a:gsLst>
                  <a:gs pos="0">
                    <a:srgbClr val="4472c4"/>
                  </a:gs>
                  <a:gs pos="100000">
                    <a:srgbClr val="8faadc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Pt>
            <c:idx val="1"/>
            <c:spPr>
              <a:gradFill>
                <a:gsLst>
                  <a:gs pos="0">
                    <a:srgbClr val="ed7d31"/>
                  </a:gs>
                  <a:gs pos="100000">
                    <a:srgbClr val="f4b183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Pt>
            <c:idx val="2"/>
            <c:spPr>
              <a:gradFill>
                <a:gsLst>
                  <a:gs pos="0">
                    <a:srgbClr val="a5a5a5"/>
                  </a:gs>
                  <a:gs pos="100000">
                    <a:srgbClr val="c9c9c9"/>
                  </a:gs>
                </a:gsLst>
                <a:lin ang="5400000"/>
              </a:gradFill>
              <a:ln w="19080">
                <a:solidFill>
                  <a:srgbClr val="ffffff"/>
                </a:solidFill>
                <a:round/>
              </a:ln>
            </c:spPr>
          </c:dPt>
          <c:dLbls>
            <c:numFmt formatCode="General" sourceLinked="0"/>
            <c:dLbl>
              <c:idx val="0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; </c:separator>
            </c:dLbl>
            <c:dLbl>
              <c:idx val="1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; </c:separator>
            </c:dLbl>
            <c:dLbl>
              <c:idx val="2"/>
              <c:numFmt formatCode="General" sourceLinked="0"/>
              <c:txPr>
                <a:bodyPr wrap="square"/>
                <a:lstStyle/>
                <a:p>
                  <a:pPr>
                    <a:defRPr b="0" sz="900" spc="-1" strike="noStrike">
                      <a:solidFill>
                        <a:srgbClr val="404040"/>
                      </a:solidFill>
                      <a:latin typeface="Calibri"/>
                    </a:defRPr>
                  </a:pPr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eparator>; </c:separator>
            </c:dLbl>
            <c:txPr>
              <a:bodyPr wrap="square"/>
              <a:lstStyle/>
              <a:p>
                <a:pPr>
                  <a:defRPr b="0" sz="900" spc="-1" strike="noStrike">
                    <a:solidFill>
                      <a:srgbClr val="404040"/>
                    </a:solidFill>
                    <a:latin typeface="Calibri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eparator>; </c:separator>
            <c:showLeaderLines val="0"/>
          </c:dLbls>
          <c:cat>
            <c:strRef>
              <c:f>categories</c:f>
              <c:strCache>
                <c:ptCount val="3"/>
                <c:pt idx="0">
                  <c:v>High</c:v>
                </c:pt>
                <c:pt idx="1">
                  <c:v>Medium</c:v>
                </c:pt>
                <c:pt idx="2">
                  <c:v>Low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3"/>
                <c:pt idx="0">
                  <c:v>25</c:v>
                </c:pt>
                <c:pt idx="1">
                  <c:v>15</c:v>
                </c:pt>
                <c:pt idx="2">
                  <c:v>3</c:v>
                </c:pt>
              </c:numCache>
            </c:numRef>
          </c:val>
        </c:ser>
        <c:firstSliceAng val="0"/>
      </c:pieChart>
      <c:spPr>
        <a:noFill/>
        <a:ln w="0">
          <a:noFill/>
        </a:ln>
      </c:spPr>
    </c:plotArea>
    <c:legend>
      <c:legendPos val="r"/>
      <c:overlay val="0"/>
      <c:spPr>
        <a:solidFill>
          <a:srgbClr val="ffffff">
            <a:alpha val="50000"/>
          </a:srgbClr>
        </a:solidFill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595959"/>
              </a:solidFill>
              <a:latin typeface="Calibri"/>
            </a:defRPr>
          </a:pPr>
        </a:p>
      </c:txPr>
    </c:legend>
    <c:plotVisOnly val="1"/>
    <c:dispBlanksAs val="gap"/>
  </c:chart>
  <c:spPr>
    <a:pattFill prst="ltDnDiag">
      <a:fgClr>
        <a:srgbClr val="ffffff"/>
      </a:fgClr>
      <a:bgClr>
        <a:srgbClr val="e6e6e6"/>
      </a:bgClr>
    </a:pattFill>
    <a:ln w="9360">
      <a:solidFill>
        <a:srgbClr val="d9d9d9"/>
      </a:solidFill>
      <a:round/>
    </a:ln>
  </c:spPr>
  <c:externalData r:id="rId1"/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Application>LibreOffice/7.3.7.2$Linux_X86_64 LibreOffice_project/30$Build-2</Application>
  <AppVersion>15.0000</AppVersion>
  <Pages>3</Pages>
  <Words>202</Words>
  <Characters>962</Characters>
  <CharactersWithSpaces>1115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2026-08-30T07:54:00Z</dcterms:created>
  <dc:creator>Un-named</dc:creator>
  <dc:description/>
  <dc:language>en-US</dc:language>
  <cp:lastModifiedBy/>
  <dcterms:modified xsi:type="dcterms:W3CDTF">2026-09-13T10:20:09Z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