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5845" w:rsidRDefault="00212E1A">
      <w:pPr>
        <w:pStyle w:val="Title"/>
        <w:jc w:val="center"/>
        <w:rPr>
          <w:rFonts w:ascii="Times New Roman" w:eastAsia="Times New Roman" w:hAnsi="Times New Roman" w:cs="Times New Roman"/>
        </w:rPr>
      </w:pPr>
      <w:bookmarkStart w:id="0" w:name="_4ih6n6phfs1n" w:colFirst="0" w:colLast="0"/>
      <w:bookmarkEnd w:id="0"/>
      <w:r>
        <w:rPr>
          <w:rFonts w:ascii="Times New Roman" w:eastAsia="Times New Roman" w:hAnsi="Times New Roman" w:cs="Times New Roman"/>
          <w:noProof/>
          <w:lang w:val="en-US"/>
        </w:rPr>
        <w:drawing>
          <wp:inline distT="114300" distB="114300" distL="114300" distR="114300" wp14:anchorId="0F6CE220" wp14:editId="5F2B9C9F">
            <wp:extent cx="2143125" cy="124777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43125" cy="1247775"/>
                    </a:xfrm>
                    <a:prstGeom prst="rect">
                      <a:avLst/>
                    </a:prstGeom>
                    <a:ln/>
                  </pic:spPr>
                </pic:pic>
              </a:graphicData>
            </a:graphic>
          </wp:inline>
        </w:drawing>
      </w:r>
    </w:p>
    <w:p w:rsidR="00805845" w:rsidRDefault="00212E1A">
      <w:pPr>
        <w:shd w:val="clear" w:color="auto" w:fill="FFFFFF"/>
        <w:spacing w:before="220" w:after="40" w:line="288" w:lineRule="auto"/>
        <w:jc w:val="center"/>
        <w:rPr>
          <w:rFonts w:ascii="Times New Roman" w:eastAsia="Times New Roman" w:hAnsi="Times New Roman" w:cs="Times New Roman"/>
          <w:b/>
          <w:bCs/>
        </w:rPr>
      </w:pPr>
      <w:r>
        <w:rPr>
          <w:rFonts w:ascii="Times New Roman" w:eastAsia="Times New Roman" w:hAnsi="Times New Roman" w:cs="Times New Roman"/>
          <w:sz w:val="52"/>
          <w:szCs w:val="52"/>
        </w:rPr>
        <w:t>AI Powered Data Analysis Remote Internship</w:t>
      </w:r>
    </w:p>
    <w:p w:rsidR="00805845" w:rsidRDefault="00805845">
      <w:pPr>
        <w:rPr>
          <w:sz w:val="52"/>
          <w:szCs w:val="52"/>
        </w:rPr>
      </w:pPr>
    </w:p>
    <w:p w:rsidR="00805845" w:rsidRDefault="00212E1A">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WEEK 2 DELIVERABLES</w:t>
      </w:r>
    </w:p>
    <w:p w:rsidR="00805845" w:rsidRDefault="00212E1A">
      <w:pPr>
        <w:pStyle w:val="Heading3"/>
        <w:keepNext w:val="0"/>
        <w:keepLines w:val="0"/>
        <w:shd w:val="clear" w:color="auto" w:fill="FFFFFF"/>
        <w:spacing w:before="0" w:after="0" w:line="288" w:lineRule="auto"/>
        <w:jc w:val="center"/>
        <w:rPr>
          <w:rFonts w:ascii="Times New Roman" w:eastAsia="Times New Roman" w:hAnsi="Times New Roman" w:cs="Times New Roman"/>
          <w:sz w:val="52"/>
          <w:szCs w:val="52"/>
        </w:rPr>
      </w:pPr>
      <w:bookmarkStart w:id="1" w:name="_wjcbrrs44sn" w:colFirst="0" w:colLast="0"/>
      <w:bookmarkEnd w:id="1"/>
      <w:r>
        <w:rPr>
          <w:rFonts w:ascii="Times New Roman" w:eastAsia="Times New Roman" w:hAnsi="Times New Roman" w:cs="Times New Roman"/>
          <w:color w:val="000000"/>
          <w:sz w:val="52"/>
          <w:szCs w:val="52"/>
        </w:rPr>
        <w:t>EDA Report</w:t>
      </w:r>
    </w:p>
    <w:p w:rsidR="00805845" w:rsidRDefault="00805845">
      <w:pPr>
        <w:rPr>
          <w:rFonts w:ascii="Times New Roman" w:eastAsia="Times New Roman" w:hAnsi="Times New Roman" w:cs="Times New Roman"/>
          <w:sz w:val="48"/>
          <w:szCs w:val="48"/>
        </w:rPr>
      </w:pPr>
    </w:p>
    <w:p w:rsidR="00805845" w:rsidRDefault="00212E1A">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TEAM-15</w:t>
      </w:r>
    </w:p>
    <w:p w:rsidR="00805845" w:rsidRDefault="00805845">
      <w:pPr>
        <w:jc w:val="center"/>
        <w:rPr>
          <w:rFonts w:ascii="Times New Roman" w:eastAsia="Times New Roman" w:hAnsi="Times New Roman" w:cs="Times New Roman"/>
          <w:sz w:val="52"/>
          <w:szCs w:val="52"/>
        </w:rPr>
      </w:pPr>
    </w:p>
    <w:tbl>
      <w:tblPr>
        <w:tblStyle w:val="a"/>
        <w:tblW w:w="9465" w:type="dxa"/>
        <w:tblInd w:w="-270" w:type="dxa"/>
        <w:tblBorders>
          <w:top w:val="nil"/>
          <w:left w:val="nil"/>
          <w:bottom w:val="nil"/>
          <w:right w:val="nil"/>
          <w:insideH w:val="nil"/>
          <w:insideV w:val="nil"/>
        </w:tblBorders>
        <w:tblLayout w:type="fixed"/>
        <w:tblLook w:val="0600" w:firstRow="0" w:lastRow="0" w:firstColumn="0" w:lastColumn="0" w:noHBand="1" w:noVBand="1"/>
      </w:tblPr>
      <w:tblGrid>
        <w:gridCol w:w="4485"/>
        <w:gridCol w:w="4980"/>
      </w:tblGrid>
      <w:tr w:rsidR="00805845">
        <w:trPr>
          <w:trHeight w:val="505"/>
        </w:trPr>
        <w:tc>
          <w:tcPr>
            <w:tcW w:w="4485"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w:t>
            </w:r>
          </w:p>
        </w:tc>
        <w:tc>
          <w:tcPr>
            <w:tcW w:w="4980"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E-mail</w:t>
            </w:r>
          </w:p>
        </w:tc>
      </w:tr>
      <w:tr w:rsidR="00805845">
        <w:trPr>
          <w:trHeight w:val="505"/>
        </w:trPr>
        <w:tc>
          <w:tcPr>
            <w:tcW w:w="4485"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Mariam Hakro</w:t>
            </w:r>
          </w:p>
        </w:tc>
        <w:tc>
          <w:tcPr>
            <w:tcW w:w="4980"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mhakro617@gmail.com</w:t>
            </w:r>
          </w:p>
        </w:tc>
      </w:tr>
      <w:tr w:rsidR="00805845">
        <w:trPr>
          <w:trHeight w:val="555"/>
        </w:trPr>
        <w:tc>
          <w:tcPr>
            <w:tcW w:w="4485"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Aderemi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Orimoogunje</w:t>
            </w:r>
            <w:proofErr w:type="spellEnd"/>
          </w:p>
        </w:tc>
        <w:tc>
          <w:tcPr>
            <w:tcW w:w="4980"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orimoogunjeaderemi@gmail.com</w:t>
            </w:r>
          </w:p>
        </w:tc>
      </w:tr>
      <w:tr w:rsidR="00805845">
        <w:trPr>
          <w:trHeight w:val="555"/>
        </w:trPr>
        <w:tc>
          <w:tcPr>
            <w:tcW w:w="4485"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Akhil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Maddi</w:t>
            </w:r>
            <w:proofErr w:type="spellEnd"/>
          </w:p>
        </w:tc>
        <w:tc>
          <w:tcPr>
            <w:tcW w:w="4980"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akhilmaddi2004@gmail.com</w:t>
            </w:r>
          </w:p>
        </w:tc>
      </w:tr>
      <w:tr w:rsidR="00805845">
        <w:trPr>
          <w:trHeight w:val="555"/>
        </w:trPr>
        <w:tc>
          <w:tcPr>
            <w:tcW w:w="4485"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Akinmoju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Olakunle</w:t>
            </w:r>
            <w:proofErr w:type="spellEnd"/>
          </w:p>
        </w:tc>
        <w:tc>
          <w:tcPr>
            <w:tcW w:w="4980"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olakunleakinmoju4@gmail.com</w:t>
            </w:r>
          </w:p>
        </w:tc>
      </w:tr>
      <w:tr w:rsidR="00805845">
        <w:trPr>
          <w:trHeight w:val="555"/>
        </w:trPr>
        <w:tc>
          <w:tcPr>
            <w:tcW w:w="4485"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Aman Hakro</w:t>
            </w:r>
          </w:p>
        </w:tc>
        <w:tc>
          <w:tcPr>
            <w:tcW w:w="4980"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amanhakro18@gmail.com</w:t>
            </w:r>
          </w:p>
        </w:tc>
      </w:tr>
      <w:tr w:rsidR="00805845">
        <w:trPr>
          <w:trHeight w:val="555"/>
        </w:trPr>
        <w:tc>
          <w:tcPr>
            <w:tcW w:w="4485"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Ewela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Eshiokhemele</w:t>
            </w:r>
            <w:proofErr w:type="spellEnd"/>
          </w:p>
        </w:tc>
        <w:tc>
          <w:tcPr>
            <w:tcW w:w="4980"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ewelaeshiokhemele@gmail.com</w:t>
            </w:r>
          </w:p>
        </w:tc>
      </w:tr>
      <w:tr w:rsidR="00805845">
        <w:trPr>
          <w:trHeight w:val="555"/>
        </w:trPr>
        <w:tc>
          <w:tcPr>
            <w:tcW w:w="4485"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Manisha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Bibi</w:t>
            </w:r>
            <w:proofErr w:type="spellEnd"/>
          </w:p>
        </w:tc>
        <w:tc>
          <w:tcPr>
            <w:tcW w:w="4980" w:type="dxa"/>
            <w:tcBorders>
              <w:top w:val="single" w:sz="8" w:space="0" w:color="000000"/>
              <w:left w:val="single" w:sz="8" w:space="0" w:color="000000"/>
              <w:bottom w:val="single" w:sz="8" w:space="0" w:color="000000"/>
              <w:right w:val="single" w:sz="8" w:space="0" w:color="000000"/>
            </w:tcBorders>
            <w:tcMar>
              <w:top w:w="0" w:type="dxa"/>
              <w:bottom w:w="0" w:type="dxa"/>
            </w:tcMar>
          </w:tcPr>
          <w:p w:rsidR="00805845" w:rsidRDefault="00212E1A">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manishashoukat5670@gmail.com</w:t>
            </w:r>
          </w:p>
        </w:tc>
      </w:tr>
    </w:tbl>
    <w:p w:rsidR="00805845" w:rsidRDefault="00805845">
      <w:pPr>
        <w:spacing w:line="480" w:lineRule="auto"/>
        <w:rPr>
          <w:rFonts w:ascii="Times New Roman" w:eastAsia="Times New Roman" w:hAnsi="Times New Roman" w:cs="Times New Roman"/>
          <w:sz w:val="28"/>
          <w:szCs w:val="28"/>
        </w:rPr>
      </w:pPr>
      <w:bookmarkStart w:id="2" w:name="_4wlitol4he1p" w:colFirst="0" w:colLast="0"/>
      <w:bookmarkStart w:id="3" w:name="_GoBack"/>
      <w:bookmarkEnd w:id="2"/>
      <w:bookmarkEnd w:id="3"/>
    </w:p>
    <w:p w:rsidR="00805845" w:rsidRDefault="00805845">
      <w:pPr>
        <w:spacing w:line="480" w:lineRule="auto"/>
        <w:sectPr w:rsidR="00805845">
          <w:pgSz w:w="12240" w:h="15840"/>
          <w:pgMar w:top="1440" w:right="1440" w:bottom="1440" w:left="1440" w:header="720" w:footer="720" w:gutter="0"/>
          <w:pgNumType w:start="1"/>
          <w:cols w:space="720"/>
        </w:sectPr>
      </w:pPr>
    </w:p>
    <w:p w:rsidR="00805845" w:rsidRDefault="00212E1A">
      <w:pPr>
        <w:spacing w:before="240" w:after="240"/>
        <w:jc w:val="center"/>
        <w:rPr>
          <w:rFonts w:ascii="Times New Roman" w:eastAsia="Times New Roman" w:hAnsi="Times New Roman" w:cs="Times New Roman"/>
          <w:b/>
          <w:bCs/>
          <w:sz w:val="36"/>
          <w:szCs w:val="36"/>
        </w:rPr>
      </w:pPr>
      <w:bookmarkStart w:id="4" w:name="_p8liizs7wiv8" w:colFirst="0" w:colLast="0"/>
      <w:bookmarkEnd w:id="4"/>
      <w:r>
        <w:rPr>
          <w:rFonts w:ascii="Times New Roman" w:eastAsia="Times New Roman" w:hAnsi="Times New Roman" w:cs="Times New Roman"/>
          <w:b/>
          <w:bCs/>
          <w:sz w:val="36"/>
          <w:szCs w:val="36"/>
        </w:rPr>
        <w:lastRenderedPageBreak/>
        <w:t>Exploratory Data Analysis (EDA) Report</w:t>
      </w:r>
    </w:p>
    <w:p w:rsidR="00805845" w:rsidRDefault="00212E1A">
      <w:pPr>
        <w:spacing w:before="240"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1. Introduction</w:t>
      </w: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Dataset Overview</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dataset captures learner engagement data across multiple stages of a learning pipeline, including signup timing, progression delays, opportunity start times, and completion behavior. It contains both numerical and categorical features</w:t>
      </w:r>
      <w:r>
        <w:rPr>
          <w:rFonts w:ascii="Times New Roman" w:eastAsia="Times New Roman" w:hAnsi="Times New Roman" w:cs="Times New Roman"/>
          <w:sz w:val="24"/>
          <w:szCs w:val="24"/>
        </w:rPr>
        <w:t>, such as time-based variables, engagement indicators, and learner attributes. The data also includes engineered features derived after Week 1 to enhance behavioral insights, with missing values handled post–feature engineering to maintain analytical consi</w:t>
      </w:r>
      <w:r>
        <w:rPr>
          <w:rFonts w:ascii="Times New Roman" w:eastAsia="Times New Roman" w:hAnsi="Times New Roman" w:cs="Times New Roman"/>
          <w:sz w:val="24"/>
          <w:szCs w:val="24"/>
        </w:rPr>
        <w:t>stency.</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the dataset is structured to allow temporal analysis, correlation assessment, and behavioral segmentation, making it suitable for understanding patterns in learner engagement and outcomes.</w:t>
      </w: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Analysis Goals</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objective of this analy</w:t>
      </w:r>
      <w:r>
        <w:rPr>
          <w:rFonts w:ascii="Times New Roman" w:eastAsia="Times New Roman" w:hAnsi="Times New Roman" w:cs="Times New Roman"/>
          <w:sz w:val="24"/>
          <w:szCs w:val="24"/>
        </w:rPr>
        <w:t>sis is to understand trends and patterns in learner signups and completions and how these trends influence engagement and success outcomes. Specifically, the analysis seeks to:</w:t>
      </w:r>
    </w:p>
    <w:p w:rsidR="00805845" w:rsidRDefault="00212E1A">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periods of high and low signup activity.</w:t>
      </w:r>
    </w:p>
    <w:p w:rsidR="00805845" w:rsidRDefault="00212E1A">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Examine stability and variati</w:t>
      </w:r>
      <w:r>
        <w:rPr>
          <w:rFonts w:ascii="Times New Roman" w:eastAsia="Times New Roman" w:hAnsi="Times New Roman" w:cs="Times New Roman"/>
          <w:sz w:val="24"/>
          <w:szCs w:val="24"/>
        </w:rPr>
        <w:t>on in completion behavior.</w:t>
      </w:r>
    </w:p>
    <w:p w:rsidR="00805845" w:rsidRDefault="00212E1A">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Explore relationships between signup behavior, completion outcomes, and learner characteristics</w:t>
      </w:r>
    </w:p>
    <w:p w:rsidR="00805845" w:rsidRDefault="00212E1A">
      <w:pPr>
        <w:numPr>
          <w:ilvl w:val="0"/>
          <w:numId w:val="1"/>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 anomalies and outliers that may affect performance metrics</w:t>
      </w:r>
    </w:p>
    <w:p w:rsidR="00805845" w:rsidRDefault="00212E1A">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these patterns is critical for business success, as s</w:t>
      </w:r>
      <w:r>
        <w:rPr>
          <w:rFonts w:ascii="Times New Roman" w:eastAsia="Times New Roman" w:hAnsi="Times New Roman" w:cs="Times New Roman"/>
          <w:sz w:val="24"/>
          <w:szCs w:val="24"/>
        </w:rPr>
        <w:t>ignup and completion trends directly influence retention, resource allocation, and overall program effectiveness.</w:t>
      </w:r>
    </w:p>
    <w:p w:rsidR="00805845" w:rsidRDefault="00212E1A">
      <w:pPr>
        <w:numPr>
          <w:ilvl w:val="0"/>
          <w:numId w:val="2"/>
        </w:numPr>
        <w:spacing w:before="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Signup Trends</w:t>
      </w: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Growth </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Signup growth was analyzed using line and bar charts to visualize changes over time. The visualizations revealed non-uniform growth patterns, characterized by periods of steady increases interspersed with sharp fluctuations. These variations suggest that s</w:t>
      </w:r>
      <w:r>
        <w:rPr>
          <w:rFonts w:ascii="Times New Roman" w:eastAsia="Times New Roman" w:hAnsi="Times New Roman" w:cs="Times New Roman"/>
          <w:sz w:val="24"/>
          <w:szCs w:val="24"/>
        </w:rPr>
        <w:t>ignup behavior is influenced by external or contextual factors rather than occurring at a constant rate.</w:t>
      </w:r>
    </w:p>
    <w:p w:rsidR="00805845" w:rsidRDefault="00212E1A">
      <w:pPr>
        <w:spacing w:after="240"/>
        <w:ind w:left="360"/>
        <w:jc w:val="both"/>
        <w:rPr>
          <w:rFonts w:ascii="Times New Roman" w:eastAsia="Times New Roman" w:hAnsi="Times New Roman" w:cs="Times New Roman"/>
          <w:sz w:val="24"/>
          <w:szCs w:val="24"/>
        </w:rPr>
      </w:pPr>
      <w:r>
        <w:rPr>
          <w:noProof/>
          <w:lang w:val="en-US"/>
        </w:rPr>
        <w:lastRenderedPageBreak/>
        <w:drawing>
          <wp:inline distT="0" distB="0" distL="0" distR="0">
            <wp:extent cx="4160306" cy="3031857"/>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160306" cy="3031857"/>
                    </a:xfrm>
                    <a:prstGeom prst="rect">
                      <a:avLst/>
                    </a:prstGeom>
                    <a:ln/>
                  </pic:spPr>
                </pic:pic>
              </a:graphicData>
            </a:graphic>
          </wp:inline>
        </w:drawing>
      </w:r>
    </w:p>
    <w:p w:rsidR="00805845" w:rsidRDefault="00805845">
      <w:pPr>
        <w:spacing w:after="240"/>
        <w:ind w:left="360"/>
        <w:jc w:val="both"/>
        <w:rPr>
          <w:rFonts w:ascii="Times New Roman" w:eastAsia="Times New Roman" w:hAnsi="Times New Roman" w:cs="Times New Roman"/>
          <w:sz w:val="24"/>
          <w:szCs w:val="24"/>
        </w:rPr>
      </w:pP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Seasonality</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Time-series plots and </w:t>
      </w:r>
      <w:proofErr w:type="spellStart"/>
      <w:r>
        <w:rPr>
          <w:rFonts w:ascii="Times New Roman" w:eastAsia="Times New Roman" w:hAnsi="Times New Roman" w:cs="Times New Roman"/>
          <w:sz w:val="24"/>
          <w:szCs w:val="24"/>
        </w:rPr>
        <w:t>heatmap</w:t>
      </w:r>
      <w:proofErr w:type="spellEnd"/>
      <w:r>
        <w:rPr>
          <w:rFonts w:ascii="Times New Roman" w:eastAsia="Times New Roman" w:hAnsi="Times New Roman" w:cs="Times New Roman"/>
          <w:sz w:val="24"/>
          <w:szCs w:val="24"/>
        </w:rPr>
        <w:t>-style visualizations highlighted clear seasonal patterns in signups. Distinct peaks were observed during s</w:t>
      </w:r>
      <w:r>
        <w:rPr>
          <w:rFonts w:ascii="Times New Roman" w:eastAsia="Times New Roman" w:hAnsi="Times New Roman" w:cs="Times New Roman"/>
          <w:sz w:val="24"/>
          <w:szCs w:val="24"/>
        </w:rPr>
        <w:t>pecific periods of the month, indicating recurring windows of heightened learner interest. These seasonal effects suggest predictable engagement cycles that can be leveraged for planning and targeted outreach.</w:t>
      </w:r>
    </w:p>
    <w:p w:rsidR="00805845" w:rsidRDefault="00212E1A">
      <w:pPr>
        <w:spacing w:after="240"/>
        <w:ind w:left="360"/>
        <w:jc w:val="both"/>
        <w:rPr>
          <w:rFonts w:ascii="Times New Roman" w:eastAsia="Times New Roman" w:hAnsi="Times New Roman" w:cs="Times New Roman"/>
          <w:sz w:val="24"/>
          <w:szCs w:val="24"/>
        </w:rPr>
      </w:pPr>
      <w:r>
        <w:rPr>
          <w:noProof/>
          <w:lang w:val="en-US"/>
        </w:rPr>
        <w:drawing>
          <wp:anchor distT="0" distB="0" distL="114300" distR="114300" simplePos="0" relativeHeight="251658240" behindDoc="0" locked="0" layoutInCell="1" hidden="0" allowOverlap="1">
            <wp:simplePos x="0" y="0"/>
            <wp:positionH relativeFrom="margin">
              <wp:posOffset>773430</wp:posOffset>
            </wp:positionH>
            <wp:positionV relativeFrom="margin">
              <wp:posOffset>4978400</wp:posOffset>
            </wp:positionV>
            <wp:extent cx="4093210" cy="3011170"/>
            <wp:effectExtent l="0" t="0" r="0" b="0"/>
            <wp:wrapSquare wrapText="bothSides" distT="0" distB="0" distL="114300" distR="11430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4093210" cy="3011170"/>
                    </a:xfrm>
                    <a:prstGeom prst="rect">
                      <a:avLst/>
                    </a:prstGeom>
                    <a:ln/>
                  </pic:spPr>
                </pic:pic>
              </a:graphicData>
            </a:graphic>
          </wp:anchor>
        </w:drawing>
      </w: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Spikes and Drops</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significan</w:t>
      </w:r>
      <w:r>
        <w:rPr>
          <w:rFonts w:ascii="Times New Roman" w:eastAsia="Times New Roman" w:hAnsi="Times New Roman" w:cs="Times New Roman"/>
          <w:sz w:val="24"/>
          <w:szCs w:val="24"/>
        </w:rPr>
        <w:t>t spikes and drops in signup activity were identified. Spikes may correspond to promotional activities, program launches, or heightened visibility, while drops may indicate periods of reduced marketing activity or competing learner priorities. These fluctu</w:t>
      </w:r>
      <w:r>
        <w:rPr>
          <w:rFonts w:ascii="Times New Roman" w:eastAsia="Times New Roman" w:hAnsi="Times New Roman" w:cs="Times New Roman"/>
          <w:sz w:val="24"/>
          <w:szCs w:val="24"/>
        </w:rPr>
        <w:t>ations emphasize the importance of monitoring signup trends continuously to quickly respond to engagement changes.</w:t>
      </w:r>
    </w:p>
    <w:p w:rsidR="00805845" w:rsidRDefault="00212E1A">
      <w:pPr>
        <w:spacing w:after="240"/>
        <w:ind w:left="360"/>
        <w:jc w:val="both"/>
        <w:rPr>
          <w:rFonts w:ascii="Times New Roman" w:eastAsia="Times New Roman" w:hAnsi="Times New Roman" w:cs="Times New Roman"/>
          <w:sz w:val="24"/>
          <w:szCs w:val="24"/>
        </w:rPr>
      </w:pPr>
      <w:r>
        <w:rPr>
          <w:noProof/>
          <w:lang w:val="en-US"/>
        </w:rPr>
        <w:drawing>
          <wp:anchor distT="0" distB="0" distL="114300" distR="114300" simplePos="0" relativeHeight="251659264" behindDoc="0" locked="0" layoutInCell="1" hidden="0" allowOverlap="1">
            <wp:simplePos x="0" y="0"/>
            <wp:positionH relativeFrom="margin">
              <wp:posOffset>1054735</wp:posOffset>
            </wp:positionH>
            <wp:positionV relativeFrom="margin">
              <wp:posOffset>1875789</wp:posOffset>
            </wp:positionV>
            <wp:extent cx="3728720" cy="2820035"/>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728720" cy="2820035"/>
                    </a:xfrm>
                    <a:prstGeom prst="rect">
                      <a:avLst/>
                    </a:prstGeom>
                    <a:ln/>
                  </pic:spPr>
                </pic:pic>
              </a:graphicData>
            </a:graphic>
          </wp:anchor>
        </w:drawing>
      </w: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212E1A">
      <w:pPr>
        <w:numPr>
          <w:ilvl w:val="0"/>
          <w:numId w:val="2"/>
        </w:numPr>
        <w:spacing w:before="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Completion Trends</w:t>
      </w: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Stability</w:t>
      </w:r>
    </w:p>
    <w:p w:rsidR="00805845" w:rsidRDefault="00212E1A">
      <w:pPr>
        <w:spacing w:after="240"/>
        <w:ind w:left="360"/>
        <w:jc w:val="both"/>
        <w:rPr>
          <w:rFonts w:ascii="Times New Roman" w:eastAsia="Times New Roman" w:hAnsi="Times New Roman" w:cs="Times New Roman"/>
          <w:sz w:val="24"/>
          <w:szCs w:val="24"/>
        </w:rPr>
      </w:pPr>
      <w:r>
        <w:rPr>
          <w:noProof/>
          <w:lang w:val="en-US"/>
        </w:rPr>
        <w:drawing>
          <wp:anchor distT="0" distB="0" distL="114300" distR="114300" simplePos="0" relativeHeight="251660288" behindDoc="0" locked="0" layoutInCell="1" hidden="0" allowOverlap="1">
            <wp:simplePos x="0" y="0"/>
            <wp:positionH relativeFrom="margin">
              <wp:posOffset>168910</wp:posOffset>
            </wp:positionH>
            <wp:positionV relativeFrom="margin">
              <wp:posOffset>6309995</wp:posOffset>
            </wp:positionV>
            <wp:extent cx="5943600" cy="1705610"/>
            <wp:effectExtent l="0" t="0" r="0" b="0"/>
            <wp:wrapSquare wrapText="bothSides" distT="0" distB="0" distL="114300" distR="11430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1705610"/>
                    </a:xfrm>
                    <a:prstGeom prst="rect">
                      <a:avLst/>
                    </a:prstGeom>
                    <a:ln/>
                  </pic:spPr>
                </pic:pic>
              </a:graphicData>
            </a:graphic>
          </wp:anchor>
        </w:drawing>
      </w:r>
      <w:r>
        <w:rPr>
          <w:rFonts w:ascii="Times New Roman" w:eastAsia="Times New Roman" w:hAnsi="Times New Roman" w:cs="Times New Roman"/>
          <w:sz w:val="24"/>
          <w:szCs w:val="24"/>
        </w:rPr>
        <w:t xml:space="preserve">Completion trends were examined using line graphs to assess stability over time. While completions generally followed signup patterns, the completion rate exhibited periods of instability, with noticeable dips that did not always align with signup volume. </w:t>
      </w:r>
      <w:r>
        <w:rPr>
          <w:rFonts w:ascii="Times New Roman" w:eastAsia="Times New Roman" w:hAnsi="Times New Roman" w:cs="Times New Roman"/>
          <w:sz w:val="24"/>
          <w:szCs w:val="24"/>
        </w:rPr>
        <w:t>This suggests that high signups do not automatically translate into high completion rates.</w:t>
      </w: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Time Variations</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Box plots were used to analyze completion times and their variability. The distribution showed a wide spread, with a concentration of learners comple</w:t>
      </w:r>
      <w:r>
        <w:rPr>
          <w:rFonts w:ascii="Times New Roman" w:eastAsia="Times New Roman" w:hAnsi="Times New Roman" w:cs="Times New Roman"/>
          <w:sz w:val="24"/>
          <w:szCs w:val="24"/>
        </w:rPr>
        <w:t>ting within a typical time range and a smaller group taking significantly longer. The presence of outliers indicates that some learners experience substantial delays in completion.</w:t>
      </w:r>
    </w:p>
    <w:p w:rsidR="00805845" w:rsidRDefault="00212E1A">
      <w:pPr>
        <w:spacing w:after="240"/>
        <w:ind w:left="360"/>
        <w:jc w:val="both"/>
        <w:rPr>
          <w:rFonts w:ascii="Times New Roman" w:eastAsia="Times New Roman" w:hAnsi="Times New Roman" w:cs="Times New Roman"/>
          <w:sz w:val="24"/>
          <w:szCs w:val="24"/>
        </w:rPr>
      </w:pPr>
      <w:r>
        <w:rPr>
          <w:noProof/>
          <w:lang w:val="en-US"/>
        </w:rPr>
        <w:drawing>
          <wp:anchor distT="0" distB="0" distL="114300" distR="114300" simplePos="0" relativeHeight="251661312" behindDoc="0" locked="0" layoutInCell="1" hidden="0" allowOverlap="1">
            <wp:simplePos x="0" y="0"/>
            <wp:positionH relativeFrom="margin">
              <wp:posOffset>322580</wp:posOffset>
            </wp:positionH>
            <wp:positionV relativeFrom="margin">
              <wp:posOffset>1383030</wp:posOffset>
            </wp:positionV>
            <wp:extent cx="3611880" cy="4942840"/>
            <wp:effectExtent l="0" t="0" r="0" b="0"/>
            <wp:wrapSquare wrapText="bothSides" distT="0" distB="0" distL="114300" distR="1143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3611880" cy="4942840"/>
                    </a:xfrm>
                    <a:prstGeom prst="rect">
                      <a:avLst/>
                    </a:prstGeom>
                    <a:ln/>
                  </pic:spPr>
                </pic:pic>
              </a:graphicData>
            </a:graphic>
          </wp:anchor>
        </w:drawing>
      </w: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212E1A">
      <w:pPr>
        <w:spacing w:after="240"/>
        <w:ind w:left="360"/>
        <w:jc w:val="both"/>
        <w:rPr>
          <w:rFonts w:ascii="Times New Roman" w:eastAsia="Times New Roman" w:hAnsi="Times New Roman" w:cs="Times New Roman"/>
          <w:sz w:val="24"/>
          <w:szCs w:val="24"/>
        </w:rPr>
      </w:pPr>
      <w:r>
        <w:rPr>
          <w:noProof/>
          <w:lang w:val="en-US"/>
        </w:rPr>
        <w:drawing>
          <wp:anchor distT="0" distB="0" distL="114300" distR="114300" simplePos="0" relativeHeight="251662336" behindDoc="0" locked="0" layoutInCell="1" hidden="0" allowOverlap="1">
            <wp:simplePos x="0" y="0"/>
            <wp:positionH relativeFrom="margin">
              <wp:posOffset>3177540</wp:posOffset>
            </wp:positionH>
            <wp:positionV relativeFrom="margin">
              <wp:posOffset>3457575</wp:posOffset>
            </wp:positionV>
            <wp:extent cx="2560320" cy="2032635"/>
            <wp:effectExtent l="0" t="0" r="0" b="0"/>
            <wp:wrapSquare wrapText="bothSides" distT="0" distB="0" distL="114300" distR="1143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2560320" cy="2032635"/>
                    </a:xfrm>
                    <a:prstGeom prst="rect">
                      <a:avLst/>
                    </a:prstGeom>
                    <a:ln/>
                  </pic:spPr>
                </pic:pic>
              </a:graphicData>
            </a:graphic>
          </wp:anchor>
        </w:drawing>
      </w: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jc w:val="both"/>
        <w:rPr>
          <w:rFonts w:ascii="Times New Roman" w:eastAsia="Times New Roman" w:hAnsi="Times New Roman" w:cs="Times New Roman"/>
          <w:sz w:val="24"/>
          <w:szCs w:val="24"/>
        </w:rPr>
      </w:pPr>
    </w:p>
    <w:p w:rsidR="00805845" w:rsidRDefault="00212E1A">
      <w:pPr>
        <w:numPr>
          <w:ilvl w:val="0"/>
          <w:numId w:val="2"/>
        </w:num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Patterns and Correlations</w:t>
      </w: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Signup vs. Completion</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Scatter plots an</w:t>
      </w:r>
      <w:r>
        <w:rPr>
          <w:rFonts w:ascii="Times New Roman" w:eastAsia="Times New Roman" w:hAnsi="Times New Roman" w:cs="Times New Roman"/>
          <w:sz w:val="24"/>
          <w:szCs w:val="24"/>
        </w:rPr>
        <w:t>d correlation analysis were used to explore the relationship between signups and completions. The results indicated a meaningful but imperfect relationship, higher signup volumes are often associated with increased completions, but the strength of this rel</w:t>
      </w:r>
      <w:r>
        <w:rPr>
          <w:rFonts w:ascii="Times New Roman" w:eastAsia="Times New Roman" w:hAnsi="Times New Roman" w:cs="Times New Roman"/>
          <w:sz w:val="24"/>
          <w:szCs w:val="24"/>
        </w:rPr>
        <w:t>ationship varies. This implies that additional factors beyond signup volume influence completion outcomes.</w:t>
      </w:r>
    </w:p>
    <w:p w:rsidR="00805845" w:rsidRDefault="00212E1A">
      <w:pPr>
        <w:spacing w:after="240"/>
        <w:jc w:val="both"/>
        <w:rPr>
          <w:rFonts w:ascii="Times New Roman" w:eastAsia="Times New Roman" w:hAnsi="Times New Roman" w:cs="Times New Roman"/>
          <w:sz w:val="24"/>
          <w:szCs w:val="24"/>
        </w:rPr>
      </w:pPr>
      <w:r>
        <w:rPr>
          <w:noProof/>
          <w:lang w:val="en-US"/>
        </w:rPr>
        <w:lastRenderedPageBreak/>
        <w:drawing>
          <wp:anchor distT="0" distB="0" distL="114300" distR="114300" simplePos="0" relativeHeight="251663360" behindDoc="0" locked="0" layoutInCell="1" hidden="0" allowOverlap="1">
            <wp:simplePos x="0" y="0"/>
            <wp:positionH relativeFrom="margin">
              <wp:posOffset>906780</wp:posOffset>
            </wp:positionH>
            <wp:positionV relativeFrom="margin">
              <wp:posOffset>-301624</wp:posOffset>
            </wp:positionV>
            <wp:extent cx="4222750" cy="2813050"/>
            <wp:effectExtent l="0" t="0" r="0" b="0"/>
            <wp:wrapSquare wrapText="bothSides" distT="0" distB="0" distL="114300" distR="11430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222750" cy="2813050"/>
                    </a:xfrm>
                    <a:prstGeom prst="rect">
                      <a:avLst/>
                    </a:prstGeom>
                    <a:ln/>
                  </pic:spPr>
                </pic:pic>
              </a:graphicData>
            </a:graphic>
          </wp:anchor>
        </w:drawing>
      </w:r>
    </w:p>
    <w:p w:rsidR="00805845" w:rsidRDefault="00805845">
      <w:pPr>
        <w:spacing w:after="240"/>
        <w:jc w:val="both"/>
        <w:rPr>
          <w:rFonts w:ascii="Times New Roman" w:eastAsia="Times New Roman" w:hAnsi="Times New Roman" w:cs="Times New Roman"/>
          <w:sz w:val="24"/>
          <w:szCs w:val="24"/>
        </w:rPr>
      </w:pPr>
    </w:p>
    <w:p w:rsidR="00805845" w:rsidRDefault="00805845">
      <w:pPr>
        <w:spacing w:after="240"/>
        <w:jc w:val="both"/>
        <w:rPr>
          <w:rFonts w:ascii="Times New Roman" w:eastAsia="Times New Roman" w:hAnsi="Times New Roman" w:cs="Times New Roman"/>
          <w:sz w:val="24"/>
          <w:szCs w:val="24"/>
        </w:rPr>
      </w:pPr>
    </w:p>
    <w:p w:rsidR="00805845" w:rsidRDefault="00805845">
      <w:pPr>
        <w:spacing w:after="240"/>
        <w:jc w:val="both"/>
        <w:rPr>
          <w:rFonts w:ascii="Times New Roman" w:eastAsia="Times New Roman" w:hAnsi="Times New Roman" w:cs="Times New Roman"/>
          <w:sz w:val="24"/>
          <w:szCs w:val="24"/>
        </w:rPr>
      </w:pPr>
    </w:p>
    <w:p w:rsidR="00805845" w:rsidRDefault="00805845">
      <w:pPr>
        <w:spacing w:after="240"/>
        <w:jc w:val="both"/>
        <w:rPr>
          <w:rFonts w:ascii="Times New Roman" w:eastAsia="Times New Roman" w:hAnsi="Times New Roman" w:cs="Times New Roman"/>
          <w:sz w:val="24"/>
          <w:szCs w:val="24"/>
        </w:rPr>
      </w:pPr>
    </w:p>
    <w:p w:rsidR="00805845" w:rsidRDefault="00805845">
      <w:pPr>
        <w:spacing w:after="240"/>
        <w:jc w:val="both"/>
        <w:rPr>
          <w:rFonts w:ascii="Times New Roman" w:eastAsia="Times New Roman" w:hAnsi="Times New Roman" w:cs="Times New Roman"/>
          <w:sz w:val="24"/>
          <w:szCs w:val="24"/>
        </w:rPr>
      </w:pPr>
    </w:p>
    <w:p w:rsidR="00805845" w:rsidRDefault="00805845">
      <w:pPr>
        <w:spacing w:after="240"/>
        <w:jc w:val="both"/>
        <w:rPr>
          <w:rFonts w:ascii="Times New Roman" w:eastAsia="Times New Roman" w:hAnsi="Times New Roman" w:cs="Times New Roman"/>
          <w:sz w:val="24"/>
          <w:szCs w:val="24"/>
        </w:rPr>
      </w:pPr>
    </w:p>
    <w:p w:rsidR="00805845" w:rsidRDefault="00805845">
      <w:pPr>
        <w:spacing w:after="240"/>
        <w:jc w:val="both"/>
        <w:rPr>
          <w:rFonts w:ascii="Times New Roman" w:eastAsia="Times New Roman" w:hAnsi="Times New Roman" w:cs="Times New Roman"/>
          <w:sz w:val="24"/>
          <w:szCs w:val="24"/>
        </w:rPr>
      </w:pP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Demographics</w:t>
      </w:r>
    </w:p>
    <w:p w:rsidR="00805845" w:rsidRDefault="00212E1A">
      <w:pPr>
        <w:spacing w:after="240"/>
        <w:ind w:left="360"/>
        <w:jc w:val="both"/>
        <w:rPr>
          <w:rFonts w:ascii="Times New Roman" w:eastAsia="Times New Roman" w:hAnsi="Times New Roman" w:cs="Times New Roman"/>
          <w:sz w:val="24"/>
          <w:szCs w:val="24"/>
        </w:rPr>
      </w:pPr>
      <w:r>
        <w:rPr>
          <w:noProof/>
          <w:lang w:val="en-US"/>
        </w:rPr>
        <w:drawing>
          <wp:anchor distT="0" distB="0" distL="114300" distR="114300" simplePos="0" relativeHeight="251664384" behindDoc="0" locked="0" layoutInCell="1" hidden="0" allowOverlap="1">
            <wp:simplePos x="0" y="0"/>
            <wp:positionH relativeFrom="margin">
              <wp:posOffset>1167130</wp:posOffset>
            </wp:positionH>
            <wp:positionV relativeFrom="margin">
              <wp:posOffset>4342765</wp:posOffset>
            </wp:positionV>
            <wp:extent cx="4222115" cy="3101340"/>
            <wp:effectExtent l="0" t="0" r="0" b="0"/>
            <wp:wrapSquare wrapText="bothSides" distT="0" distB="0" distL="114300" distR="1143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222115" cy="3101340"/>
                    </a:xfrm>
                    <a:prstGeom prst="rect">
                      <a:avLst/>
                    </a:prstGeom>
                    <a:ln/>
                  </pic:spPr>
                </pic:pic>
              </a:graphicData>
            </a:graphic>
          </wp:anchor>
        </w:drawing>
      </w:r>
      <w:r>
        <w:rPr>
          <w:rFonts w:ascii="Times New Roman" w:eastAsia="Times New Roman" w:hAnsi="Times New Roman" w:cs="Times New Roman"/>
          <w:sz w:val="24"/>
          <w:szCs w:val="24"/>
        </w:rPr>
        <w:t>Comparative analysis across learner groups (such as STEM versus non-STEM learners) revealed performance differences in progression speed and engagement. Certain groups demonstrated shorter delays and higher consistency, suggesting that learner background p</w:t>
      </w:r>
      <w:r>
        <w:rPr>
          <w:rFonts w:ascii="Times New Roman" w:eastAsia="Times New Roman" w:hAnsi="Times New Roman" w:cs="Times New Roman"/>
          <w:sz w:val="24"/>
          <w:szCs w:val="24"/>
        </w:rPr>
        <w:t>lays a role in engagement patterns. These insights highlight opportunities for tailored engagement and support strategies.</w:t>
      </w: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jc w:val="both"/>
        <w:rPr>
          <w:rFonts w:ascii="Times New Roman" w:eastAsia="Times New Roman" w:hAnsi="Times New Roman" w:cs="Times New Roman"/>
          <w:sz w:val="24"/>
          <w:szCs w:val="24"/>
        </w:rPr>
      </w:pPr>
    </w:p>
    <w:p w:rsidR="00805845" w:rsidRDefault="00805845">
      <w:pPr>
        <w:spacing w:after="240"/>
        <w:jc w:val="both"/>
        <w:rPr>
          <w:rFonts w:ascii="Times New Roman" w:eastAsia="Times New Roman" w:hAnsi="Times New Roman" w:cs="Times New Roman"/>
          <w:sz w:val="24"/>
          <w:szCs w:val="24"/>
        </w:rPr>
      </w:pPr>
    </w:p>
    <w:p w:rsidR="00805845" w:rsidRDefault="00805845">
      <w:pPr>
        <w:spacing w:after="240"/>
        <w:jc w:val="both"/>
        <w:rPr>
          <w:rFonts w:ascii="Times New Roman" w:eastAsia="Times New Roman" w:hAnsi="Times New Roman" w:cs="Times New Roman"/>
          <w:sz w:val="24"/>
          <w:szCs w:val="24"/>
        </w:rPr>
      </w:pPr>
    </w:p>
    <w:p w:rsidR="00805845" w:rsidRDefault="00805845">
      <w:pPr>
        <w:spacing w:after="240"/>
        <w:jc w:val="both"/>
        <w:rPr>
          <w:rFonts w:ascii="Times New Roman" w:eastAsia="Times New Roman" w:hAnsi="Times New Roman" w:cs="Times New Roman"/>
          <w:b/>
          <w:bCs/>
          <w:sz w:val="24"/>
          <w:szCs w:val="24"/>
        </w:rPr>
      </w:pPr>
    </w:p>
    <w:p w:rsidR="00805845" w:rsidRDefault="00212E1A">
      <w:pPr>
        <w:numPr>
          <w:ilvl w:val="0"/>
          <w:numId w:val="2"/>
        </w:num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Outliers and Anomalies</w:t>
      </w: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Completion Time Outliers</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Outliers in completion times were identified through box plots and distribu</w:t>
      </w:r>
      <w:r>
        <w:rPr>
          <w:rFonts w:ascii="Times New Roman" w:eastAsia="Times New Roman" w:hAnsi="Times New Roman" w:cs="Times New Roman"/>
          <w:sz w:val="24"/>
          <w:szCs w:val="24"/>
        </w:rPr>
        <w:t>tion analysis. These extreme values occur consistently within specific features, suggesting they represent meaningful exceptional cases rather than random noise. Such cases may reflect learners facing unique challenges or structural barriers within the lea</w:t>
      </w:r>
      <w:r>
        <w:rPr>
          <w:rFonts w:ascii="Times New Roman" w:eastAsia="Times New Roman" w:hAnsi="Times New Roman" w:cs="Times New Roman"/>
          <w:sz w:val="24"/>
          <w:szCs w:val="24"/>
        </w:rPr>
        <w:t>rning process.</w:t>
      </w:r>
    </w:p>
    <w:p w:rsidR="00805845" w:rsidRDefault="00212E1A">
      <w:pPr>
        <w:spacing w:after="240"/>
        <w:ind w:left="360"/>
        <w:jc w:val="both"/>
        <w:rPr>
          <w:rFonts w:ascii="Times New Roman" w:eastAsia="Times New Roman" w:hAnsi="Times New Roman" w:cs="Times New Roman"/>
          <w:sz w:val="24"/>
          <w:szCs w:val="24"/>
        </w:rPr>
      </w:pPr>
      <w:r>
        <w:rPr>
          <w:noProof/>
          <w:lang w:val="en-US"/>
        </w:rPr>
        <w:drawing>
          <wp:anchor distT="0" distB="0" distL="114300" distR="114300" simplePos="0" relativeHeight="251665408" behindDoc="0" locked="0" layoutInCell="1" hidden="0" allowOverlap="1">
            <wp:simplePos x="0" y="0"/>
            <wp:positionH relativeFrom="margin">
              <wp:posOffset>1188085</wp:posOffset>
            </wp:positionH>
            <wp:positionV relativeFrom="margin">
              <wp:posOffset>1620520</wp:posOffset>
            </wp:positionV>
            <wp:extent cx="4032250" cy="2800350"/>
            <wp:effectExtent l="0" t="0" r="0" b="0"/>
            <wp:wrapSquare wrapText="bothSides" distT="0" distB="0" distL="114300" distR="11430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032250" cy="2800350"/>
                    </a:xfrm>
                    <a:prstGeom prst="rect">
                      <a:avLst/>
                    </a:prstGeom>
                    <a:ln/>
                  </pic:spPr>
                </pic:pic>
              </a:graphicData>
            </a:graphic>
          </wp:anchor>
        </w:drawing>
      </w: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805845">
      <w:pPr>
        <w:spacing w:after="240"/>
        <w:jc w:val="both"/>
        <w:rPr>
          <w:rFonts w:ascii="Times New Roman" w:eastAsia="Times New Roman" w:hAnsi="Times New Roman" w:cs="Times New Roman"/>
          <w:sz w:val="24"/>
          <w:szCs w:val="24"/>
        </w:rPr>
      </w:pPr>
    </w:p>
    <w:p w:rsidR="00805845" w:rsidRDefault="00805845">
      <w:pPr>
        <w:spacing w:after="240"/>
        <w:jc w:val="both"/>
        <w:rPr>
          <w:rFonts w:ascii="Times New Roman" w:eastAsia="Times New Roman" w:hAnsi="Times New Roman" w:cs="Times New Roman"/>
          <w:sz w:val="24"/>
          <w:szCs w:val="24"/>
        </w:rPr>
      </w:pPr>
    </w:p>
    <w:p w:rsidR="00805845" w:rsidRDefault="00805845">
      <w:pPr>
        <w:spacing w:after="240"/>
        <w:ind w:left="360"/>
        <w:jc w:val="both"/>
        <w:rPr>
          <w:rFonts w:ascii="Times New Roman" w:eastAsia="Times New Roman" w:hAnsi="Times New Roman" w:cs="Times New Roman"/>
          <w:sz w:val="24"/>
          <w:szCs w:val="24"/>
        </w:rPr>
      </w:pP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Low Completion Days</w:t>
      </w:r>
    </w:p>
    <w:p w:rsidR="00805845" w:rsidRDefault="00212E1A">
      <w:pPr>
        <w:spacing w:after="240"/>
        <w:ind w:left="360"/>
        <w:jc w:val="both"/>
        <w:rPr>
          <w:rFonts w:ascii="Times New Roman" w:eastAsia="Times New Roman" w:hAnsi="Times New Roman" w:cs="Times New Roman"/>
          <w:sz w:val="24"/>
          <w:szCs w:val="24"/>
        </w:rPr>
      </w:pPr>
      <w:r>
        <w:rPr>
          <w:noProof/>
          <w:lang w:val="en-US"/>
        </w:rPr>
        <w:drawing>
          <wp:anchor distT="0" distB="0" distL="114300" distR="114300" simplePos="0" relativeHeight="251666432" behindDoc="0" locked="0" layoutInCell="1" hidden="0" allowOverlap="1">
            <wp:simplePos x="0" y="0"/>
            <wp:positionH relativeFrom="margin">
              <wp:posOffset>243840</wp:posOffset>
            </wp:positionH>
            <wp:positionV relativeFrom="margin">
              <wp:posOffset>6085840</wp:posOffset>
            </wp:positionV>
            <wp:extent cx="5726430" cy="2788920"/>
            <wp:effectExtent l="0" t="0" r="0" b="0"/>
            <wp:wrapSquare wrapText="bothSides" distT="0" distB="0" distL="114300" distR="11430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26430" cy="2788920"/>
                    </a:xfrm>
                    <a:prstGeom prst="rect">
                      <a:avLst/>
                    </a:prstGeom>
                    <a:ln/>
                  </pic:spPr>
                </pic:pic>
              </a:graphicData>
            </a:graphic>
          </wp:anchor>
        </w:drawing>
      </w:r>
      <w:r>
        <w:rPr>
          <w:rFonts w:ascii="Times New Roman" w:eastAsia="Times New Roman" w:hAnsi="Times New Roman" w:cs="Times New Roman"/>
          <w:sz w:val="24"/>
          <w:szCs w:val="24"/>
        </w:rPr>
        <w:t xml:space="preserve">Temporal analysis revealed specific days with unusually low completion counts. These anomalies may be linked to external disruptions, reduced learner activity, or internal process inefficiencies. Identifying and understanding these low-performance days is </w:t>
      </w:r>
      <w:r>
        <w:rPr>
          <w:rFonts w:ascii="Times New Roman" w:eastAsia="Times New Roman" w:hAnsi="Times New Roman" w:cs="Times New Roman"/>
          <w:sz w:val="24"/>
          <w:szCs w:val="24"/>
        </w:rPr>
        <w:t>essential to maintaining consistent outcomes.</w:t>
      </w:r>
    </w:p>
    <w:p w:rsidR="00805845" w:rsidRDefault="00212E1A">
      <w:pPr>
        <w:numPr>
          <w:ilvl w:val="0"/>
          <w:numId w:val="2"/>
        </w:numPr>
        <w:jc w:val="both"/>
        <w:rPr>
          <w:rFonts w:ascii="Times New Roman" w:eastAsia="Times New Roman" w:hAnsi="Times New Roman" w:cs="Times New Roman"/>
          <w:b/>
          <w:bCs/>
          <w:sz w:val="36"/>
          <w:szCs w:val="36"/>
        </w:rPr>
      </w:pPr>
      <w:r>
        <w:rPr>
          <w:rFonts w:ascii="Times New Roman" w:eastAsia="Times New Roman" w:hAnsi="Times New Roman" w:cs="Times New Roman"/>
          <w:b/>
          <w:bCs/>
          <w:sz w:val="32"/>
          <w:szCs w:val="32"/>
        </w:rPr>
        <w:lastRenderedPageBreak/>
        <w:t>Recommendations</w:t>
      </w: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Peak Days</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Leverage identified peak signup periods by concentrating marketing efforts, announcements, and onboarding initiatives during these high-engagement windows to maximize reach and conversion.</w:t>
      </w: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Investigate Drops</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deeper analysis around periods of sharp d</w:t>
      </w:r>
      <w:r>
        <w:rPr>
          <w:rFonts w:ascii="Times New Roman" w:eastAsia="Times New Roman" w:hAnsi="Times New Roman" w:cs="Times New Roman"/>
          <w:sz w:val="24"/>
          <w:szCs w:val="24"/>
        </w:rPr>
        <w:t>rops in signups or completions to identify underlying causes, such as process bottlenecks or reduced visibility, and implement corrective actions.</w:t>
      </w: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Support Long-Tail Users</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Introduce targeted support mechanisms such as reminders, guided checkpoints, or addit</w:t>
      </w:r>
      <w:r>
        <w:rPr>
          <w:rFonts w:ascii="Times New Roman" w:eastAsia="Times New Roman" w:hAnsi="Times New Roman" w:cs="Times New Roman"/>
          <w:sz w:val="24"/>
          <w:szCs w:val="24"/>
        </w:rPr>
        <w:t>ional resources for learners with extended completion times to reduce delays and improve overall completion rates.</w:t>
      </w: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Segment Strategies</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differentiated engagement strategies for distinct learner groups (e.g., STEM vs. non-STEM) based on observed behav</w:t>
      </w:r>
      <w:r>
        <w:rPr>
          <w:rFonts w:ascii="Times New Roman" w:eastAsia="Times New Roman" w:hAnsi="Times New Roman" w:cs="Times New Roman"/>
          <w:sz w:val="24"/>
          <w:szCs w:val="24"/>
        </w:rPr>
        <w:t>ioral differences, ensuring that support and communication are aligned with learner needs.</w:t>
      </w:r>
    </w:p>
    <w:p w:rsidR="00805845" w:rsidRDefault="00212E1A">
      <w:pPr>
        <w:numPr>
          <w:ilvl w:val="0"/>
          <w:numId w:val="2"/>
        </w:numPr>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Conclusion</w:t>
      </w: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Key Insights</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exploratory analysis revealed structured behavioral patterns in learner signups and completions, clear seasonal effects, meaningful corre</w:t>
      </w:r>
      <w:r>
        <w:rPr>
          <w:rFonts w:ascii="Times New Roman" w:eastAsia="Times New Roman" w:hAnsi="Times New Roman" w:cs="Times New Roman"/>
          <w:sz w:val="24"/>
          <w:szCs w:val="24"/>
        </w:rPr>
        <w:t>lations between engagement variables, and the presence of influential outliers. These findings demonstrate that learner behavior is systematic and predictable rather than random.</w:t>
      </w:r>
    </w:p>
    <w:p w:rsidR="00805845" w:rsidRDefault="00212E1A">
      <w:pPr>
        <w:numPr>
          <w:ilvl w:val="1"/>
          <w:numId w:val="2"/>
        </w:numPr>
        <w:spacing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Next Steps</w:t>
      </w:r>
    </w:p>
    <w:p w:rsidR="00805845" w:rsidRDefault="00212E1A">
      <w:pPr>
        <w:spacing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analysis should include hypothesis testing through regressi</w:t>
      </w:r>
      <w:r>
        <w:rPr>
          <w:rFonts w:ascii="Times New Roman" w:eastAsia="Times New Roman" w:hAnsi="Times New Roman" w:cs="Times New Roman"/>
          <w:sz w:val="24"/>
          <w:szCs w:val="24"/>
        </w:rPr>
        <w:t>on modeling, deeper segmentation analysis, and evaluation of intervention strategies. Incorporating predictive models could further enhance the ability to anticipate drop-offs, optimize engagement, and improve overall program performance.</w:t>
      </w:r>
    </w:p>
    <w:p w:rsidR="00805845" w:rsidRDefault="00805845">
      <w:pPr>
        <w:spacing w:after="240"/>
        <w:jc w:val="both"/>
        <w:rPr>
          <w:rFonts w:ascii="Times New Roman" w:eastAsia="Times New Roman" w:hAnsi="Times New Roman" w:cs="Times New Roman"/>
          <w:b/>
          <w:bCs/>
          <w:sz w:val="32"/>
          <w:szCs w:val="32"/>
        </w:rPr>
      </w:pPr>
    </w:p>
    <w:p w:rsidR="00805845" w:rsidRDefault="00212E1A">
      <w:pPr>
        <w:spacing w:after="240"/>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Data Summary</w:t>
      </w:r>
    </w:p>
    <w:p w:rsidR="00805845" w:rsidRDefault="00212E1A">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sz w:val="24"/>
          <w:szCs w:val="24"/>
        </w:rPr>
        <w:t xml:space="preserve"> dataset contains a total of 12,450 learner signups, showing notable fluctuations across different months. On average, learners take 3.7 days from account creation to start their first activity, while the median completion time for opportunities is 8 days,</w:t>
      </w:r>
      <w:r>
        <w:rPr>
          <w:rFonts w:ascii="Times New Roman" w:eastAsia="Times New Roman" w:hAnsi="Times New Roman" w:cs="Times New Roman"/>
          <w:sz w:val="24"/>
          <w:szCs w:val="24"/>
        </w:rPr>
        <w:t xml:space="preserve"> indicating that most learners complete within about one week. Overall, the completion rate is 72%, meaning roughly three-quarters of learners finish their enrolled opportunities.</w:t>
      </w:r>
    </w:p>
    <w:p w:rsidR="00805845" w:rsidRDefault="00212E1A">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small portion of learners (1.2%) are outliers who take significantly longe</w:t>
      </w:r>
      <w:r>
        <w:rPr>
          <w:rFonts w:ascii="Times New Roman" w:eastAsia="Times New Roman" w:hAnsi="Times New Roman" w:cs="Times New Roman"/>
          <w:sz w:val="24"/>
          <w:szCs w:val="24"/>
        </w:rPr>
        <w:t>r to complete, highlighting a subset that may need additional support. Correlation analysis indicates a positive relationship between signup volume and completions (0.68), suggesting that higher engagement drives more completions. Comparing learner groups,</w:t>
      </w:r>
      <w:r>
        <w:rPr>
          <w:rFonts w:ascii="Times New Roman" w:eastAsia="Times New Roman" w:hAnsi="Times New Roman" w:cs="Times New Roman"/>
          <w:sz w:val="24"/>
          <w:szCs w:val="24"/>
        </w:rPr>
        <w:t xml:space="preserve"> STEM learners complete at a higher rate (75%) than non-STEM learners (68%), showing differences in engagement and progression speed.</w:t>
      </w:r>
    </w:p>
    <w:p w:rsidR="00805845" w:rsidRDefault="00212E1A">
      <w:pPr>
        <w:spacing w:after="240"/>
        <w:jc w:val="both"/>
        <w:rPr>
          <w:rFonts w:ascii="Times New Roman" w:eastAsia="Times New Roman" w:hAnsi="Times New Roman" w:cs="Times New Roman"/>
          <w:sz w:val="24"/>
          <w:szCs w:val="24"/>
        </w:rPr>
      </w:pPr>
      <w:bookmarkStart w:id="5" w:name="_2i7lhd4qqu9e" w:colFirst="0" w:colLast="0"/>
      <w:bookmarkEnd w:id="5"/>
      <w:r>
        <w:rPr>
          <w:rFonts w:ascii="Times New Roman" w:eastAsia="Times New Roman" w:hAnsi="Times New Roman" w:cs="Times New Roman"/>
          <w:sz w:val="24"/>
          <w:szCs w:val="24"/>
        </w:rPr>
        <w:t>Month-wise trends reveal that signups and completions generally follow similar patterns, with slight variations in average</w:t>
      </w:r>
      <w:r>
        <w:rPr>
          <w:rFonts w:ascii="Times New Roman" w:eastAsia="Times New Roman" w:hAnsi="Times New Roman" w:cs="Times New Roman"/>
          <w:sz w:val="24"/>
          <w:szCs w:val="24"/>
        </w:rPr>
        <w:t xml:space="preserve"> completion times. For example, peak months like March and May have higher signup numbers and faster average completion times, while months with fewer signups show slightly longer completion durations.</w:t>
      </w:r>
    </w:p>
    <w:p w:rsidR="00805845" w:rsidRDefault="00212E1A">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summary, the dataset exhibits structured behavioral</w:t>
      </w:r>
      <w:r>
        <w:rPr>
          <w:rFonts w:ascii="Times New Roman" w:eastAsia="Times New Roman" w:hAnsi="Times New Roman" w:cs="Times New Roman"/>
          <w:sz w:val="24"/>
          <w:szCs w:val="24"/>
        </w:rPr>
        <w:t xml:space="preserve"> patterns, predictable trends, meaningful correlations, and identifiable outliers. These insights can inform targeted engagement strategies, support interventions for long-tail learners, and optimized planning for peak signup periods.</w:t>
      </w:r>
    </w:p>
    <w:p w:rsidR="00805845" w:rsidRDefault="00805845">
      <w:pPr>
        <w:spacing w:after="240"/>
        <w:jc w:val="both"/>
        <w:rPr>
          <w:rFonts w:ascii="Times New Roman" w:eastAsia="Times New Roman" w:hAnsi="Times New Roman" w:cs="Times New Roman"/>
          <w:sz w:val="24"/>
          <w:szCs w:val="24"/>
        </w:rPr>
      </w:pPr>
    </w:p>
    <w:sectPr w:rsidR="00805845">
      <w:footerReference w:type="defaul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12E1A" w:rsidRDefault="00212E1A" w:rsidP="00C65ABB">
      <w:pPr>
        <w:spacing w:line="240" w:lineRule="auto"/>
      </w:pPr>
      <w:r>
        <w:separator/>
      </w:r>
    </w:p>
  </w:endnote>
  <w:endnote w:type="continuationSeparator" w:id="0">
    <w:p w:rsidR="00212E1A" w:rsidRDefault="00212E1A" w:rsidP="00C65A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7AD647B-E51E-47CD-8E96-75A62C12A040}"/>
  </w:font>
  <w:font w:name="Calibri">
    <w:panose1 w:val="020F0502020204030204"/>
    <w:charset w:val="00"/>
    <w:family w:val="swiss"/>
    <w:pitch w:val="variable"/>
    <w:sig w:usb0="E4002EFF" w:usb1="C000247B" w:usb2="00000009" w:usb3="00000000" w:csb0="000001FF" w:csb1="00000000"/>
    <w:embedRegular r:id="rId2" w:fontKey="{1325DD11-7B03-4184-9A30-C15F378FAEA6}"/>
  </w:font>
  <w:font w:name="Cambria">
    <w:panose1 w:val="02040503050406030204"/>
    <w:charset w:val="00"/>
    <w:family w:val="roman"/>
    <w:pitch w:val="variable"/>
    <w:sig w:usb0="E00006FF" w:usb1="420024FF" w:usb2="02000000" w:usb3="00000000" w:csb0="0000019F" w:csb1="00000000"/>
    <w:embedRegular r:id="rId3" w:fontKey="{5BED8D8C-857C-43AC-BAEE-D9B9125BF5A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5ABB" w:rsidRDefault="00C65A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12E1A" w:rsidRDefault="00212E1A" w:rsidP="00C65ABB">
      <w:pPr>
        <w:spacing w:line="240" w:lineRule="auto"/>
      </w:pPr>
      <w:r>
        <w:separator/>
      </w:r>
    </w:p>
  </w:footnote>
  <w:footnote w:type="continuationSeparator" w:id="0">
    <w:p w:rsidR="00212E1A" w:rsidRDefault="00212E1A" w:rsidP="00C65AB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40CC4"/>
    <w:multiLevelType w:val="multilevel"/>
    <w:tmpl w:val="FF365E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4CEE798E"/>
    <w:multiLevelType w:val="multilevel"/>
    <w:tmpl w:val="FF447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805845"/>
    <w:rsid w:val="00212E1A"/>
    <w:rsid w:val="004227CB"/>
    <w:rsid w:val="00805845"/>
    <w:rsid w:val="00C65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65AB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ABB"/>
    <w:rPr>
      <w:rFonts w:ascii="Tahoma" w:hAnsi="Tahoma" w:cs="Tahoma"/>
      <w:sz w:val="16"/>
      <w:szCs w:val="16"/>
    </w:rPr>
  </w:style>
  <w:style w:type="paragraph" w:styleId="Header">
    <w:name w:val="header"/>
    <w:basedOn w:val="Normal"/>
    <w:link w:val="HeaderChar"/>
    <w:uiPriority w:val="99"/>
    <w:unhideWhenUsed/>
    <w:rsid w:val="00C65ABB"/>
    <w:pPr>
      <w:tabs>
        <w:tab w:val="center" w:pos="4680"/>
        <w:tab w:val="right" w:pos="9360"/>
      </w:tabs>
      <w:spacing w:line="240" w:lineRule="auto"/>
    </w:pPr>
  </w:style>
  <w:style w:type="character" w:customStyle="1" w:styleId="HeaderChar">
    <w:name w:val="Header Char"/>
    <w:basedOn w:val="DefaultParagraphFont"/>
    <w:link w:val="Header"/>
    <w:uiPriority w:val="99"/>
    <w:rsid w:val="00C65ABB"/>
  </w:style>
  <w:style w:type="paragraph" w:styleId="Footer">
    <w:name w:val="footer"/>
    <w:basedOn w:val="Normal"/>
    <w:link w:val="FooterChar"/>
    <w:uiPriority w:val="99"/>
    <w:unhideWhenUsed/>
    <w:rsid w:val="00C65ABB"/>
    <w:pPr>
      <w:tabs>
        <w:tab w:val="center" w:pos="4680"/>
        <w:tab w:val="right" w:pos="9360"/>
      </w:tabs>
      <w:spacing w:line="240" w:lineRule="auto"/>
    </w:pPr>
  </w:style>
  <w:style w:type="character" w:customStyle="1" w:styleId="FooterChar">
    <w:name w:val="Footer Char"/>
    <w:basedOn w:val="DefaultParagraphFont"/>
    <w:link w:val="Footer"/>
    <w:uiPriority w:val="99"/>
    <w:rsid w:val="00C65AB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65AB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ABB"/>
    <w:rPr>
      <w:rFonts w:ascii="Tahoma" w:hAnsi="Tahoma" w:cs="Tahoma"/>
      <w:sz w:val="16"/>
      <w:szCs w:val="16"/>
    </w:rPr>
  </w:style>
  <w:style w:type="paragraph" w:styleId="Header">
    <w:name w:val="header"/>
    <w:basedOn w:val="Normal"/>
    <w:link w:val="HeaderChar"/>
    <w:uiPriority w:val="99"/>
    <w:unhideWhenUsed/>
    <w:rsid w:val="00C65ABB"/>
    <w:pPr>
      <w:tabs>
        <w:tab w:val="center" w:pos="4680"/>
        <w:tab w:val="right" w:pos="9360"/>
      </w:tabs>
      <w:spacing w:line="240" w:lineRule="auto"/>
    </w:pPr>
  </w:style>
  <w:style w:type="character" w:customStyle="1" w:styleId="HeaderChar">
    <w:name w:val="Header Char"/>
    <w:basedOn w:val="DefaultParagraphFont"/>
    <w:link w:val="Header"/>
    <w:uiPriority w:val="99"/>
    <w:rsid w:val="00C65ABB"/>
  </w:style>
  <w:style w:type="paragraph" w:styleId="Footer">
    <w:name w:val="footer"/>
    <w:basedOn w:val="Normal"/>
    <w:link w:val="FooterChar"/>
    <w:uiPriority w:val="99"/>
    <w:unhideWhenUsed/>
    <w:rsid w:val="00C65ABB"/>
    <w:pPr>
      <w:tabs>
        <w:tab w:val="center" w:pos="4680"/>
        <w:tab w:val="right" w:pos="9360"/>
      </w:tabs>
      <w:spacing w:line="240" w:lineRule="auto"/>
    </w:pPr>
  </w:style>
  <w:style w:type="character" w:customStyle="1" w:styleId="FooterChar">
    <w:name w:val="Footer Char"/>
    <w:basedOn w:val="DefaultParagraphFont"/>
    <w:link w:val="Footer"/>
    <w:uiPriority w:val="99"/>
    <w:rsid w:val="00C65A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1253</Words>
  <Characters>7145</Characters>
  <Application>Microsoft Office Word</Application>
  <DocSecurity>0</DocSecurity>
  <Lines>59</Lines>
  <Paragraphs>16</Paragraphs>
  <ScaleCrop>false</ScaleCrop>
  <Company/>
  <LinksUpToDate>false</LinksUpToDate>
  <CharactersWithSpaces>8382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3</cp:revision>
  <dcterms:created xsi:type="dcterms:W3CDTF">2026-01-26T15:58:00Z</dcterms:created>
  <dcterms:modified xsi:type="dcterms:W3CDTF">2026-01-26T16:03:00Z</dcterms:modified>
</cp:coreProperties>
</file>