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0F7B72"/>
          <w:sz w:val="32"/>
          <w:szCs w:val="32"/>
        </w:rPr>
        <w:t xml:space="preserve">Mini-Project MP03</w:t>
      </w:r>
    </w:p>
    <w:p>
      <w:pPr>
        <w:spacing w:after="80" w:before="0"/>
      </w:pPr>
      <w:r>
        <w:rPr>
          <w:rFonts w:ascii="Calibri" w:cs="Calibri" w:eastAsia="Calibri" w:hAnsi="Calibri"/>
          <w:b/>
          <w:bCs/>
          <w:color w:val="1A2744"/>
          <w:sz w:val="40"/>
          <w:szCs w:val="40"/>
        </w:rPr>
        <w:t xml:space="preserve">Press Release to Plot — Industry Comparison</w:t>
      </w:r>
    </w:p>
    <w:p>
      <w:pPr>
        <w:spacing w:after="80" w:before="0"/>
      </w:pPr>
      <w:r>
        <w:rPr>
          <w:rFonts w:ascii="Calibri" w:cs="Calibri" w:eastAsia="Calibri" w:hAnsi="Calibri"/>
          <w:color w:val="2563A8"/>
          <w:sz w:val="26"/>
          <w:szCs w:val="26"/>
        </w:rPr>
        <w:t xml:space="preserve">Financial Services and Travel and Hospitality</w:t>
      </w:r>
    </w:p>
    <w:p>
      <w:pPr>
        <w:pBdr>
          <w:bottom w:val="single" w:color="2563A8" w:sz="12" w:space="1"/>
        </w:pBdr>
        <w:spacing w:after="240" w:before="0"/>
      </w:pPr>
      <w:r>
        <w:rPr>
          <w:rFonts w:ascii="Calibri" w:cs="Calibri" w:eastAsia="Calibri" w:hAnsi="Calibri"/>
          <w:i/>
          <w:iCs/>
          <w:color w:val="4B5563"/>
          <w:sz w:val="20"/>
          <w:szCs w:val="20"/>
        </w:rPr>
        <w:t xml:space="preserve">CIS 3120 — Programming for Analytics  ·  Baruch College, Zicklin School of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Calibri" w:cs="Calibri" w:eastAsia="Calibri" w:hAnsi="Calibri"/>
                <w:b/>
                <w:bCs/>
                <w:color w:val="0F7B72"/>
                <w:sz w:val="18"/>
                <w:szCs w:val="18"/>
              </w:rPr>
              <w:t xml:space="preserve">Instructor</w:t>
            </w:r>
          </w:p>
          <w:p>
            <w:pPr>
              <w:spacing w:after="0" w:before="0"/>
            </w:pPr>
            <w:r>
              <w:rPr>
                <w:rFonts w:ascii="Calibri" w:cs="Calibri" w:eastAsia="Calibri" w:hAnsi="Calibri"/>
                <w:color w:val="1F2937"/>
                <w:sz w:val="22"/>
                <w:szCs w:val="22"/>
              </w:rPr>
              <w:t xml:space="preserve">Patrick Slattery (Patrick.Slattery@Baruch.CUNY.edu)</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Calibri" w:cs="Calibri" w:eastAsia="Calibri" w:hAnsi="Calibri"/>
                <w:b/>
                <w:bCs/>
                <w:color w:val="0F7B72"/>
                <w:sz w:val="18"/>
                <w:szCs w:val="18"/>
              </w:rPr>
              <w:t xml:space="preserve">Module Number</w:t>
            </w:r>
          </w:p>
          <w:p>
            <w:pPr>
              <w:spacing w:after="0" w:before="0"/>
            </w:pPr>
            <w:r>
              <w:rPr>
                <w:rFonts w:ascii="Calibri" w:cs="Calibri" w:eastAsia="Calibri" w:hAnsi="Calibri"/>
                <w:color w:val="1F2937"/>
                <w:sz w:val="22"/>
                <w:szCs w:val="22"/>
              </w:rPr>
              <w:t xml:space="preserve">15</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Calibri" w:cs="Calibri" w:eastAsia="Calibri" w:hAnsi="Calibri"/>
                <w:b/>
                <w:bCs/>
                <w:color w:val="0F7B72"/>
                <w:sz w:val="18"/>
                <w:szCs w:val="18"/>
              </w:rPr>
              <w:t xml:space="preserve">Estimated Time</w:t>
            </w:r>
          </w:p>
          <w:p>
            <w:pPr>
              <w:spacing w:after="0" w:before="0"/>
            </w:pPr>
            <w:r>
              <w:rPr>
                <w:rFonts w:ascii="Calibri" w:cs="Calibri" w:eastAsia="Calibri" w:hAnsi="Calibri"/>
                <w:color w:val="1F2937"/>
                <w:sz w:val="22"/>
                <w:szCs w:val="22"/>
              </w:rPr>
              <w:t xml:space="preserve">8 to 12 hours per team</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Calibri" w:cs="Calibri" w:eastAsia="Calibri" w:hAnsi="Calibri"/>
                <w:b/>
                <w:bCs/>
                <w:color w:val="0F7B72"/>
                <w:sz w:val="18"/>
                <w:szCs w:val="18"/>
              </w:rPr>
              <w:t xml:space="preserve">Team Size</w:t>
            </w:r>
          </w:p>
          <w:p>
            <w:pPr>
              <w:spacing w:after="0" w:before="0"/>
            </w:pPr>
            <w:r>
              <w:rPr>
                <w:rFonts w:ascii="Calibri" w:cs="Calibri" w:eastAsia="Calibri" w:hAnsi="Calibri"/>
                <w:color w:val="1F2937"/>
                <w:sz w:val="22"/>
                <w:szCs w:val="22"/>
              </w:rPr>
              <w:t xml:space="preserve">Three students</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Calibri" w:cs="Calibri" w:eastAsia="Calibri" w:hAnsi="Calibri"/>
                <w:b/>
                <w:bCs/>
                <w:color w:val="0F7B72"/>
                <w:sz w:val="18"/>
                <w:szCs w:val="18"/>
              </w:rPr>
              <w:t xml:space="preserve">Maximum Score</w:t>
            </w:r>
          </w:p>
          <w:p>
            <w:pPr>
              <w:spacing w:after="0" w:before="0"/>
            </w:pPr>
            <w:r>
              <w:rPr>
                <w:rFonts w:ascii="Calibri" w:cs="Calibri" w:eastAsia="Calibri" w:hAnsi="Calibri"/>
                <w:color w:val="1F2937"/>
                <w:sz w:val="22"/>
                <w:szCs w:val="22"/>
              </w:rPr>
              <w:t xml:space="preserve">150 points</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Calibri" w:cs="Calibri" w:eastAsia="Calibri" w:hAnsi="Calibri"/>
                <w:b/>
                <w:bCs/>
                <w:color w:val="0F7B72"/>
                <w:sz w:val="18"/>
                <w:szCs w:val="18"/>
              </w:rPr>
              <w:t xml:space="preserve">API Cost Ceiling</w:t>
            </w:r>
          </w:p>
          <w:p>
            <w:pPr>
              <w:spacing w:after="0" w:before="0"/>
            </w:pPr>
            <w:r>
              <w:rPr>
                <w:rFonts w:ascii="Calibri" w:cs="Calibri" w:eastAsia="Calibri" w:hAnsi="Calibri"/>
                <w:color w:val="1F2937"/>
                <w:sz w:val="22"/>
                <w:szCs w:val="22"/>
              </w:rPr>
              <w:t xml:space="preserve">$3.00 per team for window-tuning experiments</w:t>
            </w:r>
          </w:p>
        </w:tc>
      </w:tr>
    </w:tbl>
    <w:p>
      <w:pPr>
        <w:spacing w:after="140" w:before="0"/>
      </w:pPr>
      <w:r>
        <w:t xml:space="preserve"/>
      </w:r>
    </w:p>
    <w:p>
      <w:pPr>
        <w:pBdr>
          <w:bottom w:val="single" w:color="2563A8" w:sz="8" w:space="1"/>
        </w:pBdr>
        <w:spacing w:after="140" w:before="320"/>
      </w:pPr>
      <w:r>
        <w:rPr>
          <w:rFonts w:ascii="Calibri" w:cs="Calibri" w:eastAsia="Calibri" w:hAnsi="Calibri"/>
          <w:b/>
          <w:bCs/>
          <w:color w:val="1A2744"/>
          <w:sz w:val="28"/>
          <w:szCs w:val="28"/>
        </w:rPr>
        <w:t xml:space="preserve">1.  Project Overview</w:t>
      </w:r>
    </w:p>
    <w:p>
      <w:pPr>
        <w:spacing w:after="140" w:before="0"/>
        <w:jc w:val="left"/>
      </w:pPr>
      <w:r>
        <w:rPr>
          <w:rFonts w:ascii="Calibri" w:cs="Calibri" w:eastAsia="Calibri" w:hAnsi="Calibri"/>
          <w:color w:val="1F2937"/>
          <w:sz w:val="22"/>
          <w:szCs w:val="22"/>
        </w:rPr>
        <w:t xml:space="preserve">MP03 extends the Module 15 walkthrough into a comparative analysis. Each team builds the canonical pipeline twice — once restricted to a curated list of Financial Services tickers, once restricted to a curated list of Travel and Hospitality tickers — and produces a single integrated map that exposes the geographic differences between the two industries. The expectation is not that the two maps will look the same; it is that they will look different in ways the team can explain.</w:t>
      </w:r>
    </w:p>
    <w:p>
      <w:pPr>
        <w:spacing w:after="140" w:before="0"/>
        <w:jc w:val="left"/>
      </w:pPr>
      <w:r>
        <w:rPr>
          <w:rFonts w:ascii="Calibri" w:cs="Calibri" w:eastAsia="Calibri" w:hAnsi="Calibri"/>
          <w:color w:val="1F2937"/>
          <w:sz w:val="22"/>
          <w:szCs w:val="22"/>
        </w:rPr>
        <w:t xml:space="preserve">The two industries were chosen because they file location-related 8-Ks for fundamentally different reasons. Financial Services location events skew toward branch consolidations, regional office closures, and operations-center relocations driven by cost rationalization and the migration of routine work to lower-cost geographies. Travel and Hospitality location events skew toward new property openings, brand conversions, resort expansions, and route launches driven by demand growth and franchise activity. The contrast is genuine: capital-intensive expansion against fixed-cost reduction, the geography of finance against the geography of leisure. Your job is to surface that contrast in the data and articulate it in the comparative reflection.</w:t>
      </w:r>
    </w:p>
    <w:p>
      <w:pPr>
        <w:spacing w:after="100" w:before="220"/>
      </w:pPr>
      <w:r>
        <w:rPr>
          <w:rFonts w:ascii="Calibri" w:cs="Calibri" w:eastAsia="Calibri" w:hAnsi="Calibri"/>
          <w:b/>
          <w:bCs/>
          <w:color w:val="2563A8"/>
          <w:sz w:val="24"/>
          <w:szCs w:val="24"/>
        </w:rPr>
        <w:t xml:space="preserve">Distinguishing characteristics of MP03</w:t>
      </w:r>
    </w:p>
    <w:p>
      <w:pPr>
        <w:pStyle w:val="ListParagraph"/>
        <w:numPr>
          <w:ilvl w:val="0"/>
          <w:numId w:val="2"/>
        </w:numPr>
        <w:spacing w:after="80" w:before="0"/>
      </w:pPr>
      <w:r>
        <w:rPr>
          <w:rFonts w:ascii="Calibri" w:cs="Calibri" w:eastAsia="Calibri" w:hAnsi="Calibri"/>
          <w:color w:val="1F2937"/>
          <w:sz w:val="22"/>
          <w:szCs w:val="22"/>
        </w:rPr>
        <w:t xml:space="preserve">Two parallel pipeline runs (one per industry) producing one comparative artifact.</w:t>
      </w:r>
    </w:p>
    <w:p>
      <w:pPr>
        <w:pStyle w:val="ListParagraph"/>
        <w:numPr>
          <w:ilvl w:val="0"/>
          <w:numId w:val="2"/>
        </w:numPr>
        <w:spacing w:after="80" w:before="0"/>
      </w:pPr>
      <w:r>
        <w:rPr>
          <w:rFonts w:ascii="Calibri" w:cs="Calibri" w:eastAsia="Calibri" w:hAnsi="Calibri"/>
          <w:color w:val="1F2937"/>
          <w:sz w:val="22"/>
          <w:szCs w:val="22"/>
        </w:rPr>
        <w:t xml:space="preserve">Empirically determined window length, established through a structured tuning experiment rather than chosen by guess.</w:t>
      </w:r>
    </w:p>
    <w:p>
      <w:pPr>
        <w:pStyle w:val="ListParagraph"/>
        <w:numPr>
          <w:ilvl w:val="0"/>
          <w:numId w:val="2"/>
        </w:numPr>
        <w:spacing w:after="80" w:before="0"/>
      </w:pPr>
      <w:r>
        <w:rPr>
          <w:rFonts w:ascii="Calibri" w:cs="Calibri" w:eastAsia="Calibri" w:hAnsi="Calibri"/>
          <w:color w:val="1F2937"/>
          <w:sz w:val="22"/>
          <w:szCs w:val="22"/>
        </w:rPr>
        <w:t xml:space="preserve">Industry-specific search-phrase extensions, motivated and documented in the methodology section.</w:t>
      </w:r>
    </w:p>
    <w:p>
      <w:pPr>
        <w:pStyle w:val="ListParagraph"/>
        <w:numPr>
          <w:ilvl w:val="0"/>
          <w:numId w:val="2"/>
        </w:numPr>
        <w:spacing w:after="80" w:before="0"/>
      </w:pPr>
      <w:r>
        <w:rPr>
          <w:rFonts w:ascii="Calibri" w:cs="Calibri" w:eastAsia="Calibri" w:hAnsi="Calibri"/>
          <w:color w:val="1F2937"/>
          <w:sz w:val="22"/>
          <w:szCs w:val="22"/>
        </w:rPr>
        <w:t xml:space="preserve">A 150-point rubric in which methodology and comparative analysis carry roughly one third of the weight.</w:t>
      </w:r>
    </w:p>
    <w:p>
      <w:pPr>
        <w:pBdr>
          <w:bottom w:val="single" w:color="2563A8" w:sz="8" w:space="1"/>
        </w:pBdr>
        <w:spacing w:after="140" w:before="320"/>
      </w:pPr>
      <w:r>
        <w:rPr>
          <w:rFonts w:ascii="Calibri" w:cs="Calibri" w:eastAsia="Calibri" w:hAnsi="Calibri"/>
          <w:b/>
          <w:bCs/>
          <w:color w:val="1A2744"/>
          <w:sz w:val="28"/>
          <w:szCs w:val="28"/>
        </w:rPr>
        <w:t xml:space="preserve">2.  Team Roles</w:t>
      </w:r>
    </w:p>
    <w:p>
      <w:pPr>
        <w:spacing w:after="140" w:before="0"/>
        <w:jc w:val="left"/>
      </w:pPr>
      <w:r>
        <w:rPr>
          <w:rFonts w:ascii="Calibri" w:cs="Calibri" w:eastAsia="Calibri" w:hAnsi="Calibri"/>
          <w:color w:val="1F2937"/>
          <w:sz w:val="22"/>
          <w:szCs w:val="22"/>
        </w:rPr>
        <w:t xml:space="preserve">Each team has exactly three students. Team membership must be declared on Brightspace before work begins and cannot change once declared without instructor approval. Two-person teams are not accepted for MP03; if a third member cannot be recruited, the team must inform the instructor in advance and one of the three roles will be reassigned.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1D5DB" w:sz="4"/>
              <w:left w:val="single" w:color="D1D5DB" w:sz="4"/>
              <w:bottom w:val="single" w:color="D1D5DB" w:sz="4"/>
              <w:right w:val="single" w:color="D1D5DB" w:sz="4"/>
            </w:tcBorders>
            <w:shd w:fill="E5EEF7" w:color="auto" w:val="clear"/>
            <w:tcMar>
              <w:top w:type="dxa" w:w="80"/>
              <w:left w:type="dxa" w:w="120"/>
              <w:bottom w:type="dxa" w:w="80"/>
              <w:right w:type="dxa" w:w="120"/>
            </w:tcMar>
          </w:tcPr>
          <w:p>
            <w:pPr>
              <w:spacing w:after="0" w:before="0"/>
            </w:pPr>
            <w:r>
              <w:rPr>
                <w:rFonts w:ascii="Calibri" w:cs="Calibri" w:eastAsia="Calibri" w:hAnsi="Calibri"/>
                <w:b/>
                <w:bCs/>
                <w:color w:val="1A2744"/>
                <w:sz w:val="22"/>
                <w:szCs w:val="22"/>
              </w:rPr>
              <w:t xml:space="preserve">Role</w:t>
            </w:r>
          </w:p>
        </w:tc>
        <w:tc>
          <w:tcPr>
            <w:tcW w:type="dxa" w:w="1800"/>
            <w:tcBorders>
              <w:top w:val="single" w:color="D1D5DB" w:sz="4"/>
              <w:left w:val="single" w:color="D1D5DB" w:sz="4"/>
              <w:bottom w:val="single" w:color="D1D5DB" w:sz="4"/>
              <w:right w:val="single" w:color="D1D5DB" w:sz="4"/>
            </w:tcBorders>
            <w:shd w:fill="E5EEF7" w:color="auto" w:val="clear"/>
            <w:tcMar>
              <w:top w:type="dxa" w:w="80"/>
              <w:left w:type="dxa" w:w="120"/>
              <w:bottom w:type="dxa" w:w="80"/>
              <w:right w:type="dxa" w:w="120"/>
            </w:tcMar>
          </w:tcPr>
          <w:p>
            <w:pPr>
              <w:spacing w:after="0" w:before="0"/>
            </w:pPr>
            <w:r>
              <w:rPr>
                <w:rFonts w:ascii="Calibri" w:cs="Calibri" w:eastAsia="Calibri" w:hAnsi="Calibri"/>
                <w:b/>
                <w:bCs/>
                <w:color w:val="1A2744"/>
                <w:sz w:val="22"/>
                <w:szCs w:val="22"/>
              </w:rPr>
              <w:t xml:space="preserve">Owns</w:t>
            </w:r>
          </w:p>
        </w:tc>
        <w:tc>
          <w:tcPr>
            <w:tcW w:type="dxa" w:w="5160"/>
            <w:tcBorders>
              <w:top w:val="single" w:color="D1D5DB" w:sz="4"/>
              <w:left w:val="single" w:color="D1D5DB" w:sz="4"/>
              <w:bottom w:val="single" w:color="D1D5DB" w:sz="4"/>
              <w:right w:val="single" w:color="D1D5DB" w:sz="4"/>
            </w:tcBorders>
            <w:shd w:fill="E5EEF7" w:color="auto" w:val="clear"/>
            <w:tcMar>
              <w:top w:type="dxa" w:w="80"/>
              <w:left w:type="dxa" w:w="120"/>
              <w:bottom w:type="dxa" w:w="80"/>
              <w:right w:type="dxa" w:w="120"/>
            </w:tcMar>
          </w:tcPr>
          <w:p>
            <w:pPr>
              <w:spacing w:after="0" w:before="0"/>
            </w:pPr>
            <w:r>
              <w:rPr>
                <w:rFonts w:ascii="Calibri" w:cs="Calibri" w:eastAsia="Calibri" w:hAnsi="Calibri"/>
                <w:b/>
                <w:bCs/>
                <w:color w:val="1A2744"/>
                <w:sz w:val="22"/>
                <w:szCs w:val="22"/>
              </w:rPr>
              <w:t xml:space="preserve">Primary responsibilities</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Financial Services Pipeline Lead</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Industry-1 pipeline</w:t>
            </w:r>
          </w:p>
        </w:tc>
        <w:tc>
          <w:tcPr>
            <w:tcW w:type="dxa" w:w="51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Curates the Financial Services ticker list and search-phrase extensions; runs the pipeline against the Financial Services slice; documents Stage 3 classification quality on the industry-specific corpus; produces the Financial Services event records.</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Travel and Hospitality Pipeline Lead</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Industry-2 pipeline</w:t>
            </w:r>
          </w:p>
        </w:tc>
        <w:tc>
          <w:tcPr>
            <w:tcW w:type="dxa" w:w="51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Curates the Travel and Hospitality ticker list and search-phrase extensions; runs the pipeline against the Travel and Hospitality slice; documents Stage 3 classification quality on the industry-specific corpus; produces the Travel and Hospitality event records.</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Comparison and Visualization Lead (also Integrator)</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Map, methodology, integration</w:t>
            </w:r>
          </w:p>
        </w:tc>
        <w:tc>
          <w:tcPr>
            <w:tcW w:type="dxa" w:w="51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Designs the integrated folium map (visual encoding that distinguishes industries and event types); authors the methodology section; authors the comparative reflection; serves as the GitHub integrator (owns the team branch, reviews and merges teammate contributions, resolves conflicts); owns end-to-end integrated testing of the assembled notebook.</w:t>
            </w:r>
          </w:p>
        </w:tc>
      </w:tr>
    </w:tbl>
    <w:p>
      <w:pPr>
        <w:spacing w:after="120" w:before="0"/>
      </w:pPr>
      <w:r>
        <w:t xml:space="preserve"/>
      </w:r>
    </w:p>
    <w:p>
      <w:pPr>
        <w:spacing w:after="140" w:before="0"/>
        <w:jc w:val="left"/>
      </w:pPr>
      <w:r>
        <w:rPr>
          <w:rFonts w:ascii="Calibri" w:cs="Calibri" w:eastAsia="Calibri" w:hAnsi="Calibri"/>
          <w:color w:val="1F2937"/>
          <w:sz w:val="22"/>
          <w:szCs w:val="22"/>
        </w:rPr>
        <w:t xml:space="preserve">The Comparison and Visualization Lead role carries the heaviest non-pipeline workload by design. The pipeline leads each own a substantive technical workstream; the integrator owns substantive synthesis work plus the engineering responsibility of keeping the team’s code in a working state on the shared branch. The three workloads are calibrated to be approximately equivalent in time investment, not in technical character.</w:t>
      </w:r>
    </w:p>
    <w:p>
      <w:pPr>
        <w:pBdr>
          <w:bottom w:val="single" w:color="2563A8" w:sz="8" w:space="1"/>
        </w:pBdr>
        <w:spacing w:after="140" w:before="320"/>
      </w:pPr>
      <w:r>
        <w:rPr>
          <w:rFonts w:ascii="Calibri" w:cs="Calibri" w:eastAsia="Calibri" w:hAnsi="Calibri"/>
          <w:b/>
          <w:bCs/>
          <w:color w:val="1A2744"/>
          <w:sz w:val="28"/>
          <w:szCs w:val="28"/>
        </w:rPr>
        <w:t xml:space="preserve">3.  Module Contract: Signatures and Seeded Defaults</w:t>
      </w:r>
    </w:p>
    <w:p>
      <w:pPr>
        <w:spacing w:after="100" w:before="220"/>
      </w:pPr>
      <w:r>
        <w:rPr>
          <w:rFonts w:ascii="Calibri" w:cs="Calibri" w:eastAsia="Calibri" w:hAnsi="Calibri"/>
          <w:b/>
          <w:bCs/>
          <w:color w:val="2563A8"/>
          <w:sz w:val="24"/>
          <w:szCs w:val="24"/>
        </w:rPr>
        <w:t xml:space="preserve">Preserved signatures (do not modify)</w:t>
      </w:r>
    </w:p>
    <w:p>
      <w:pPr>
        <w:spacing w:after="140" w:before="0"/>
        <w:jc w:val="left"/>
      </w:pPr>
      <w:r>
        <w:rPr>
          <w:rFonts w:ascii="Calibri" w:cs="Calibri" w:eastAsia="Calibri" w:hAnsi="Calibri"/>
          <w:color w:val="1F2937"/>
          <w:sz w:val="22"/>
          <w:szCs w:val="22"/>
        </w:rPr>
        <w:t xml:space="preserve">These five signatures from the Module 15 instructor notebook must remain unchanged. Downstream code in the canonical notebook calls them with these exact argument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A8" w:sz="24" w:space="6"/>
              <w:bottom w:val="none" w:color="FFFFFF" w:sz="0"/>
              <w:right w:val="none" w:color="FFFFFF" w:sz="0"/>
            </w:tcBorders>
            <w:shd w:fill="F3F4F6" w:color="auto" w:val="clear"/>
            <w:tcMar>
              <w:top w:type="dxa" w:w="160"/>
              <w:left w:type="dxa" w:w="200"/>
              <w:bottom w:type="dxa" w:w="160"/>
              <w:right w:type="dxa" w:w="160"/>
            </w:tcMar>
          </w:tcPr>
          <w:p>
            <w:pPr>
              <w:spacing w:after="0" w:before="0" w:line="260"/>
            </w:pPr>
            <w:r>
              <w:rPr>
                <w:rFonts w:ascii="Consolas" w:cs="Consolas" w:eastAsia="Consolas" w:hAnsi="Consolas"/>
                <w:color w:val="1A2744"/>
                <w:sz w:val="20"/>
                <w:szCs w:val="20"/>
              </w:rPr>
              <w:t xml:space="preserve">def search_edgar_one_phrase(</w:t>
            </w:r>
          </w:p>
          <w:p>
            <w:pPr>
              <w:spacing w:after="0" w:before="0" w:line="260"/>
            </w:pPr>
            <w:r>
              <w:rPr>
                <w:rFonts w:ascii="Consolas" w:cs="Consolas" w:eastAsia="Consolas" w:hAnsi="Consolas"/>
                <w:color w:val="1A2744"/>
                <w:sz w:val="20"/>
                <w:szCs w:val="20"/>
              </w:rPr>
              <w:t xml:space="preserve">    phrase: str,</w:t>
            </w:r>
          </w:p>
          <w:p>
            <w:pPr>
              <w:spacing w:after="0" w:before="0" w:line="260"/>
            </w:pPr>
            <w:r>
              <w:rPr>
                <w:rFonts w:ascii="Consolas" w:cs="Consolas" w:eastAsia="Consolas" w:hAnsi="Consolas"/>
                <w:color w:val="1A2744"/>
                <w:sz w:val="20"/>
                <w:szCs w:val="20"/>
              </w:rPr>
              <w:t xml:space="preserve">    start_date: date,</w:t>
            </w:r>
          </w:p>
          <w:p>
            <w:pPr>
              <w:spacing w:after="0" w:before="0" w:line="260"/>
            </w:pPr>
            <w:r>
              <w:rPr>
                <w:rFonts w:ascii="Consolas" w:cs="Consolas" w:eastAsia="Consolas" w:hAnsi="Consolas"/>
                <w:color w:val="1A2744"/>
                <w:sz w:val="20"/>
                <w:szCs w:val="20"/>
              </w:rPr>
              <w:t xml:space="preserve">    end_date: date,</w:t>
            </w:r>
          </w:p>
          <w:p>
            <w:pPr>
              <w:spacing w:after="0" w:before="0" w:line="260"/>
            </w:pPr>
            <w:r>
              <w:rPr>
                <w:rFonts w:ascii="Consolas" w:cs="Consolas" w:eastAsia="Consolas" w:hAnsi="Consolas"/>
                <w:color w:val="1A2744"/>
                <w:sz w:val="20"/>
                <w:szCs w:val="20"/>
              </w:rPr>
              <w:t xml:space="preserve">    forms: str = "8-K",</w:t>
            </w:r>
          </w:p>
          <w:p>
            <w:pPr>
              <w:spacing w:after="0" w:before="0" w:line="260"/>
            </w:pPr>
            <w:r>
              <w:rPr>
                <w:rFonts w:ascii="Consolas" w:cs="Consolas" w:eastAsia="Consolas" w:hAnsi="Consolas"/>
                <w:color w:val="1A2744"/>
                <w:sz w:val="20"/>
                <w:szCs w:val="20"/>
              </w:rPr>
              <w:t xml:space="preserve">    max_pages: int = 2,</w:t>
            </w:r>
          </w:p>
          <w:p>
            <w:pPr>
              <w:spacing w:after="0" w:before="0" w:line="260"/>
            </w:pPr>
            <w:r>
              <w:rPr>
                <w:rFonts w:ascii="Consolas" w:cs="Consolas" w:eastAsia="Consolas" w:hAnsi="Consolas"/>
                <w:color w:val="1A2744"/>
                <w:sz w:val="20"/>
                <w:szCs w:val="20"/>
              </w:rPr>
              <w:t xml:space="preserve">) -&gt; tuple[list[dict], int]: ...</w:t>
            </w:r>
          </w:p>
          <w:p>
            <w:pPr>
              <w:spacing w:after="0" w:before="0" w:line="260"/>
            </w:pPr>
            <w:r>
              <w:rPr>
                <w:rFonts w:ascii="Consolas" w:cs="Consolas" w:eastAsia="Consolas" w:hAnsi="Consolas"/>
                <w:color w:val="1A2744"/>
                <w:sz w:val="20"/>
                <w:szCs w:val="20"/>
              </w:rPr>
              <w:t xml:space="preserve"> </w:t>
            </w:r>
          </w:p>
          <w:p>
            <w:pPr>
              <w:spacing w:after="0" w:before="0" w:line="260"/>
            </w:pPr>
            <w:r>
              <w:rPr>
                <w:rFonts w:ascii="Consolas" w:cs="Consolas" w:eastAsia="Consolas" w:hAnsi="Consolas"/>
                <w:color w:val="1A2744"/>
                <w:sz w:val="20"/>
                <w:szCs w:val="20"/>
              </w:rPr>
              <w:t xml:space="preserve">def build_exhibit_url(hit: dict) -&gt; str: ...</w:t>
            </w:r>
          </w:p>
          <w:p>
            <w:pPr>
              <w:spacing w:after="0" w:before="0" w:line="260"/>
            </w:pPr>
            <w:r>
              <w:rPr>
                <w:rFonts w:ascii="Consolas" w:cs="Consolas" w:eastAsia="Consolas" w:hAnsi="Consolas"/>
                <w:color w:val="1A2744"/>
                <w:sz w:val="20"/>
                <w:szCs w:val="20"/>
              </w:rPr>
              <w:t xml:space="preserve"> </w:t>
            </w:r>
          </w:p>
          <w:p>
            <w:pPr>
              <w:spacing w:after="0" w:before="0" w:line="260"/>
            </w:pPr>
            <w:r>
              <w:rPr>
                <w:rFonts w:ascii="Consolas" w:cs="Consolas" w:eastAsia="Consolas" w:hAnsi="Consolas"/>
                <w:color w:val="1A2744"/>
                <w:sz w:val="20"/>
                <w:szCs w:val="20"/>
              </w:rPr>
              <w:t xml:space="preserve">def fetch_exhibit_text(hit: dict, max_chars: int = 8000) -&gt; tuple[str, str]: ...</w:t>
            </w:r>
          </w:p>
          <w:p>
            <w:pPr>
              <w:spacing w:after="0" w:before="0" w:line="260"/>
            </w:pPr>
            <w:r>
              <w:rPr>
                <w:rFonts w:ascii="Consolas" w:cs="Consolas" w:eastAsia="Consolas" w:hAnsi="Consolas"/>
                <w:color w:val="1A2744"/>
                <w:sz w:val="20"/>
                <w:szCs w:val="20"/>
              </w:rPr>
              <w:t xml:space="preserve"> </w:t>
            </w:r>
          </w:p>
          <w:p>
            <w:pPr>
              <w:spacing w:after="0" w:before="0" w:line="260"/>
            </w:pPr>
            <w:r>
              <w:rPr>
                <w:rFonts w:ascii="Consolas" w:cs="Consolas" w:eastAsia="Consolas" w:hAnsi="Consolas"/>
                <w:color w:val="1A2744"/>
                <w:sz w:val="20"/>
                <w:szCs w:val="20"/>
              </w:rPr>
              <w:t xml:space="preserve">def extract_with_claude(filing: dict) -&gt; dict: ...</w:t>
            </w:r>
          </w:p>
          <w:p>
            <w:pPr>
              <w:spacing w:after="0" w:before="0" w:line="260"/>
            </w:pPr>
            <w:r>
              <w:rPr>
                <w:rFonts w:ascii="Consolas" w:cs="Consolas" w:eastAsia="Consolas" w:hAnsi="Consolas"/>
                <w:color w:val="1A2744"/>
                <w:sz w:val="20"/>
                <w:szCs w:val="20"/>
              </w:rPr>
              <w:t xml:space="preserve"> </w:t>
            </w:r>
          </w:p>
          <w:p>
            <w:pPr>
              <w:spacing w:after="0" w:before="0" w:line="260"/>
            </w:pPr>
            <w:r>
              <w:rPr>
                <w:rFonts w:ascii="Consolas" w:cs="Consolas" w:eastAsia="Consolas" w:hAnsi="Consolas"/>
                <w:color w:val="1A2744"/>
                <w:sz w:val="20"/>
                <w:szCs w:val="20"/>
              </w:rPr>
              <w:t xml:space="preserve">def geocode_location(city: str, state: str | None) -&gt; tuple[float, float] | None: ...</w:t>
            </w:r>
          </w:p>
        </w:tc>
      </w:tr>
    </w:tbl>
    <w:p>
      <w:pPr>
        <w:spacing w:after="100" w:before="220"/>
      </w:pPr>
      <w:r>
        <w:rPr>
          <w:rFonts w:ascii="Calibri" w:cs="Calibri" w:eastAsia="Calibri" w:hAnsi="Calibri"/>
          <w:b/>
          <w:bCs/>
          <w:color w:val="2563A8"/>
          <w:sz w:val="24"/>
          <w:szCs w:val="24"/>
        </w:rPr>
        <w:t xml:space="preserve">Required new signatures</w:t>
      </w:r>
    </w:p>
    <w:p>
      <w:pPr>
        <w:spacing w:after="140" w:before="0"/>
        <w:jc w:val="left"/>
      </w:pPr>
      <w:r>
        <w:rPr>
          <w:rFonts w:ascii="Calibri" w:cs="Calibri" w:eastAsia="Calibri" w:hAnsi="Calibri"/>
          <w:color w:val="1F2937"/>
          <w:sz w:val="22"/>
          <w:szCs w:val="22"/>
        </w:rPr>
        <w:t xml:space="preserve">Your team adds the following functions. Each one has a single, well-defined responsibility; do not bundle multiple responsibilities into one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A8" w:sz="24" w:space="6"/>
              <w:bottom w:val="none" w:color="FFFFFF" w:sz="0"/>
              <w:right w:val="none" w:color="FFFFFF" w:sz="0"/>
            </w:tcBorders>
            <w:shd w:fill="F3F4F6" w:color="auto" w:val="clear"/>
            <w:tcMar>
              <w:top w:type="dxa" w:w="160"/>
              <w:left w:type="dxa" w:w="200"/>
              <w:bottom w:type="dxa" w:w="160"/>
              <w:right w:type="dxa" w:w="160"/>
            </w:tcMar>
          </w:tcPr>
          <w:p>
            <w:pPr>
              <w:spacing w:after="0" w:before="0" w:line="260"/>
            </w:pPr>
            <w:r>
              <w:rPr>
                <w:rFonts w:ascii="Consolas" w:cs="Consolas" w:eastAsia="Consolas" w:hAnsi="Consolas"/>
                <w:color w:val="1A2744"/>
                <w:sz w:val="20"/>
                <w:szCs w:val="20"/>
              </w:rPr>
              <w:t xml:space="preserve"># Restrict a candidate set returned by Stage 1 to a list of tickers.</w:t>
            </w:r>
          </w:p>
          <w:p>
            <w:pPr>
              <w:spacing w:after="0" w:before="0" w:line="260"/>
            </w:pPr>
            <w:r>
              <w:rPr>
                <w:rFonts w:ascii="Consolas" w:cs="Consolas" w:eastAsia="Consolas" w:hAnsi="Consolas"/>
                <w:color w:val="1A2744"/>
                <w:sz w:val="20"/>
                <w:szCs w:val="20"/>
              </w:rPr>
              <w:t xml:space="preserve"># Implementation hint: each EDGAR hit has hit["_source"]["tickers"];</w:t>
            </w:r>
          </w:p>
          <w:p>
            <w:pPr>
              <w:spacing w:after="0" w:before="0" w:line="260"/>
            </w:pPr>
            <w:r>
              <w:rPr>
                <w:rFonts w:ascii="Consolas" w:cs="Consolas" w:eastAsia="Consolas" w:hAnsi="Consolas"/>
                <w:color w:val="1A2744"/>
                <w:sz w:val="20"/>
                <w:szCs w:val="20"/>
              </w:rPr>
              <w:t xml:space="preserve"># match case-insensitively and return only matching hits.</w:t>
            </w:r>
          </w:p>
          <w:p>
            <w:pPr>
              <w:spacing w:after="0" w:before="0" w:line="260"/>
            </w:pPr>
            <w:r>
              <w:rPr>
                <w:rFonts w:ascii="Consolas" w:cs="Consolas" w:eastAsia="Consolas" w:hAnsi="Consolas"/>
                <w:color w:val="1A2744"/>
                <w:sz w:val="20"/>
                <w:szCs w:val="20"/>
              </w:rPr>
              <w:t xml:space="preserve">def filter_candidates_by_tickers(</w:t>
            </w:r>
          </w:p>
          <w:p>
            <w:pPr>
              <w:spacing w:after="0" w:before="0" w:line="260"/>
            </w:pPr>
            <w:r>
              <w:rPr>
                <w:rFonts w:ascii="Consolas" w:cs="Consolas" w:eastAsia="Consolas" w:hAnsi="Consolas"/>
                <w:color w:val="1A2744"/>
                <w:sz w:val="20"/>
                <w:szCs w:val="20"/>
              </w:rPr>
              <w:t xml:space="preserve">    candidates: list[dict],</w:t>
            </w:r>
          </w:p>
          <w:p>
            <w:pPr>
              <w:spacing w:after="0" w:before="0" w:line="260"/>
            </w:pPr>
            <w:r>
              <w:rPr>
                <w:rFonts w:ascii="Consolas" w:cs="Consolas" w:eastAsia="Consolas" w:hAnsi="Consolas"/>
                <w:color w:val="1A2744"/>
                <w:sz w:val="20"/>
                <w:szCs w:val="20"/>
              </w:rPr>
              <w:t xml:space="preserve">    ticker_list: list[str],</w:t>
            </w:r>
          </w:p>
          <w:p>
            <w:pPr>
              <w:spacing w:after="0" w:before="0" w:line="260"/>
            </w:pPr>
            <w:r>
              <w:rPr>
                <w:rFonts w:ascii="Consolas" w:cs="Consolas" w:eastAsia="Consolas" w:hAnsi="Consolas"/>
                <w:color w:val="1A2744"/>
                <w:sz w:val="20"/>
                <w:szCs w:val="20"/>
              </w:rPr>
              <w:t xml:space="preserve">) -&gt; list[dict]: ...</w:t>
            </w:r>
          </w:p>
          <w:p>
            <w:pPr>
              <w:spacing w:after="0" w:before="0" w:line="260"/>
            </w:pPr>
            <w:r>
              <w:rPr>
                <w:rFonts w:ascii="Consolas" w:cs="Consolas" w:eastAsia="Consolas" w:hAnsi="Consolas"/>
                <w:color w:val="1A2744"/>
                <w:sz w:val="20"/>
                <w:szCs w:val="20"/>
              </w:rPr>
              <w:t xml:space="preserve"> </w:t>
            </w:r>
          </w:p>
          <w:p>
            <w:pPr>
              <w:spacing w:after="0" w:before="0" w:line="260"/>
            </w:pPr>
            <w:r>
              <w:rPr>
                <w:rFonts w:ascii="Consolas" w:cs="Consolas" w:eastAsia="Consolas" w:hAnsi="Consolas"/>
                <w:color w:val="1A2744"/>
                <w:sz w:val="20"/>
                <w:szCs w:val="20"/>
              </w:rPr>
              <w:t xml:space="preserve"># Run all five pipeline stages for one industry slice.</w:t>
            </w:r>
          </w:p>
          <w:p>
            <w:pPr>
              <w:spacing w:after="0" w:before="0" w:line="260"/>
            </w:pPr>
            <w:r>
              <w:rPr>
                <w:rFonts w:ascii="Consolas" w:cs="Consolas" w:eastAsia="Consolas" w:hAnsi="Consolas"/>
                <w:color w:val="1A2744"/>
                <w:sz w:val="20"/>
                <w:szCs w:val="20"/>
              </w:rPr>
              <w:t xml:space="preserve"># Returns geocoded events with an "industry" field added to each record.</w:t>
            </w:r>
          </w:p>
          <w:p>
            <w:pPr>
              <w:spacing w:after="0" w:before="0" w:line="260"/>
            </w:pPr>
            <w:r>
              <w:rPr>
                <w:rFonts w:ascii="Consolas" w:cs="Consolas" w:eastAsia="Consolas" w:hAnsi="Consolas"/>
                <w:color w:val="1A2744"/>
                <w:sz w:val="20"/>
                <w:szCs w:val="20"/>
              </w:rPr>
              <w:t xml:space="preserve">def run_industry_pipeline(</w:t>
            </w:r>
          </w:p>
          <w:p>
            <w:pPr>
              <w:spacing w:after="0" w:before="0" w:line="260"/>
            </w:pPr>
            <w:r>
              <w:rPr>
                <w:rFonts w:ascii="Consolas" w:cs="Consolas" w:eastAsia="Consolas" w:hAnsi="Consolas"/>
                <w:color w:val="1A2744"/>
                <w:sz w:val="20"/>
                <w:szCs w:val="20"/>
              </w:rPr>
              <w:t xml:space="preserve">    industry_label: str,</w:t>
            </w:r>
          </w:p>
          <w:p>
            <w:pPr>
              <w:spacing w:after="0" w:before="0" w:line="260"/>
            </w:pPr>
            <w:r>
              <w:rPr>
                <w:rFonts w:ascii="Consolas" w:cs="Consolas" w:eastAsia="Consolas" w:hAnsi="Consolas"/>
                <w:color w:val="1A2744"/>
                <w:sz w:val="20"/>
                <w:szCs w:val="20"/>
              </w:rPr>
              <w:t xml:space="preserve">    ticker_list: list[str],</w:t>
            </w:r>
          </w:p>
          <w:p>
            <w:pPr>
              <w:spacing w:after="0" w:before="0" w:line="260"/>
            </w:pPr>
            <w:r>
              <w:rPr>
                <w:rFonts w:ascii="Consolas" w:cs="Consolas" w:eastAsia="Consolas" w:hAnsi="Consolas"/>
                <w:color w:val="1A2744"/>
                <w:sz w:val="20"/>
                <w:szCs w:val="20"/>
              </w:rPr>
              <w:t xml:space="preserve">    phrase_list: list[str],</w:t>
            </w:r>
          </w:p>
          <w:p>
            <w:pPr>
              <w:spacing w:after="0" w:before="0" w:line="260"/>
            </w:pPr>
            <w:r>
              <w:rPr>
                <w:rFonts w:ascii="Consolas" w:cs="Consolas" w:eastAsia="Consolas" w:hAnsi="Consolas"/>
                <w:color w:val="1A2744"/>
                <w:sz w:val="20"/>
                <w:szCs w:val="20"/>
              </w:rPr>
              <w:t xml:space="preserve">    window_days: int,</w:t>
            </w:r>
          </w:p>
          <w:p>
            <w:pPr>
              <w:spacing w:after="0" w:before="0" w:line="260"/>
            </w:pPr>
            <w:r>
              <w:rPr>
                <w:rFonts w:ascii="Consolas" w:cs="Consolas" w:eastAsia="Consolas" w:hAnsi="Consolas"/>
                <w:color w:val="1A2744"/>
                <w:sz w:val="20"/>
                <w:szCs w:val="20"/>
              </w:rPr>
              <w:t xml:space="preserve">) -&gt; list[dict]: ...</w:t>
            </w:r>
          </w:p>
          <w:p>
            <w:pPr>
              <w:spacing w:after="0" w:before="0" w:line="260"/>
            </w:pPr>
            <w:r>
              <w:rPr>
                <w:rFonts w:ascii="Consolas" w:cs="Consolas" w:eastAsia="Consolas" w:hAnsi="Consolas"/>
                <w:color w:val="1A2744"/>
                <w:sz w:val="20"/>
                <w:szCs w:val="20"/>
              </w:rPr>
              <w:t xml:space="preserve"> </w:t>
            </w:r>
          </w:p>
          <w:p>
            <w:pPr>
              <w:spacing w:after="0" w:before="0" w:line="260"/>
            </w:pPr>
            <w:r>
              <w:rPr>
                <w:rFonts w:ascii="Consolas" w:cs="Consolas" w:eastAsia="Consolas" w:hAnsi="Consolas"/>
                <w:color w:val="1A2744"/>
                <w:sz w:val="20"/>
                <w:szCs w:val="20"/>
              </w:rPr>
              <w:t xml:space="preserve"># Record the result of one window-tuning trial. Returns a dict that is</w:t>
            </w:r>
          </w:p>
          <w:p>
            <w:pPr>
              <w:spacing w:after="0" w:before="0" w:line="260"/>
            </w:pPr>
            <w:r>
              <w:rPr>
                <w:rFonts w:ascii="Consolas" w:cs="Consolas" w:eastAsia="Consolas" w:hAnsi="Consolas"/>
                <w:color w:val="1A2744"/>
                <w:sz w:val="20"/>
                <w:szCs w:val="20"/>
              </w:rPr>
              <w:t xml:space="preserve"># directly appendable to the window-experiment results table.</w:t>
            </w:r>
          </w:p>
          <w:p>
            <w:pPr>
              <w:spacing w:after="0" w:before="0" w:line="260"/>
            </w:pPr>
            <w:r>
              <w:rPr>
                <w:rFonts w:ascii="Consolas" w:cs="Consolas" w:eastAsia="Consolas" w:hAnsi="Consolas"/>
                <w:color w:val="1A2744"/>
                <w:sz w:val="20"/>
                <w:szCs w:val="20"/>
              </w:rPr>
              <w:t xml:space="preserve">def summarize_window_trial(</w:t>
            </w:r>
          </w:p>
          <w:p>
            <w:pPr>
              <w:spacing w:after="0" w:before="0" w:line="260"/>
            </w:pPr>
            <w:r>
              <w:rPr>
                <w:rFonts w:ascii="Consolas" w:cs="Consolas" w:eastAsia="Consolas" w:hAnsi="Consolas"/>
                <w:color w:val="1A2744"/>
                <w:sz w:val="20"/>
                <w:szCs w:val="20"/>
              </w:rPr>
              <w:t xml:space="preserve">    industry_label: str,</w:t>
            </w:r>
          </w:p>
          <w:p>
            <w:pPr>
              <w:spacing w:after="0" w:before="0" w:line="260"/>
            </w:pPr>
            <w:r>
              <w:rPr>
                <w:rFonts w:ascii="Consolas" w:cs="Consolas" w:eastAsia="Consolas" w:hAnsi="Consolas"/>
                <w:color w:val="1A2744"/>
                <w:sz w:val="20"/>
                <w:szCs w:val="20"/>
              </w:rPr>
              <w:t xml:space="preserve">    window_days: int,</w:t>
            </w:r>
          </w:p>
          <w:p>
            <w:pPr>
              <w:spacing w:after="0" w:before="0" w:line="260"/>
            </w:pPr>
            <w:r>
              <w:rPr>
                <w:rFonts w:ascii="Consolas" w:cs="Consolas" w:eastAsia="Consolas" w:hAnsi="Consolas"/>
                <w:color w:val="1A2744"/>
                <w:sz w:val="20"/>
                <w:szCs w:val="20"/>
              </w:rPr>
              <w:t xml:space="preserve">    candidate_count: int,</w:t>
            </w:r>
          </w:p>
          <w:p>
            <w:pPr>
              <w:spacing w:after="0" w:before="0" w:line="260"/>
            </w:pPr>
            <w:r>
              <w:rPr>
                <w:rFonts w:ascii="Consolas" w:cs="Consolas" w:eastAsia="Consolas" w:hAnsi="Consolas"/>
                <w:color w:val="1A2744"/>
                <w:sz w:val="20"/>
                <w:szCs w:val="20"/>
              </w:rPr>
              <w:t xml:space="preserve">    event_count: int,</w:t>
            </w:r>
          </w:p>
          <w:p>
            <w:pPr>
              <w:spacing w:after="0" w:before="0" w:line="260"/>
            </w:pPr>
            <w:r>
              <w:rPr>
                <w:rFonts w:ascii="Consolas" w:cs="Consolas" w:eastAsia="Consolas" w:hAnsi="Consolas"/>
                <w:color w:val="1A2744"/>
                <w:sz w:val="20"/>
                <w:szCs w:val="20"/>
              </w:rPr>
              <w:t xml:space="preserve">    estimated_cost_usd: float,</w:t>
            </w:r>
          </w:p>
          <w:p>
            <w:pPr>
              <w:spacing w:after="0" w:before="0" w:line="260"/>
            </w:pPr>
            <w:r>
              <w:rPr>
                <w:rFonts w:ascii="Consolas" w:cs="Consolas" w:eastAsia="Consolas" w:hAnsi="Consolas"/>
                <w:color w:val="1A2744"/>
                <w:sz w:val="20"/>
                <w:szCs w:val="20"/>
              </w:rPr>
              <w:t xml:space="preserve">) -&gt; dict: ...</w:t>
            </w:r>
          </w:p>
        </w:tc>
      </w:tr>
    </w:tbl>
    <w:p>
      <w:pPr>
        <w:spacing w:after="100" w:before="220"/>
      </w:pPr>
      <w:r>
        <w:rPr>
          <w:rFonts w:ascii="Calibri" w:cs="Calibri" w:eastAsia="Calibri" w:hAnsi="Calibri"/>
          <w:b/>
          <w:bCs/>
          <w:color w:val="2563A8"/>
          <w:sz w:val="24"/>
          <w:szCs w:val="24"/>
        </w:rPr>
        <w:t xml:space="preserve">Seeded defaults — Financial Services</w:t>
      </w:r>
    </w:p>
    <w:p>
      <w:pPr>
        <w:spacing w:after="140" w:before="0"/>
        <w:jc w:val="left"/>
      </w:pPr>
      <w:r>
        <w:rPr>
          <w:rFonts w:ascii="Calibri" w:cs="Calibri" w:eastAsia="Calibri" w:hAnsi="Calibri"/>
          <w:color w:val="1F2937"/>
          <w:sz w:val="22"/>
          <w:szCs w:val="22"/>
        </w:rPr>
        <w:t xml:space="preserve">The lists below are starting points provided by the instructor. Your team is expected to modify both lists during the project; modifications must be justified in the methodology section.</w:t>
      </w:r>
    </w:p>
    <w:p>
      <w:pPr>
        <w:spacing w:after="80" w:before="160"/>
      </w:pPr>
      <w:r>
        <w:rPr>
          <w:rFonts w:ascii="Calibri" w:cs="Calibri" w:eastAsia="Calibri" w:hAnsi="Calibri"/>
          <w:b/>
          <w:bCs/>
          <w:color w:val="0F7B72"/>
          <w:sz w:val="22"/>
          <w:szCs w:val="22"/>
        </w:rPr>
        <w:t xml:space="preserve">Financial Services tickers (default seed, 14 companies across sub-segments)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A8" w:sz="24" w:space="6"/>
              <w:bottom w:val="none" w:color="FFFFFF" w:sz="0"/>
              <w:right w:val="none" w:color="FFFFFF" w:sz="0"/>
            </w:tcBorders>
            <w:shd w:fill="F3F4F6" w:color="auto" w:val="clear"/>
            <w:tcMar>
              <w:top w:type="dxa" w:w="160"/>
              <w:left w:type="dxa" w:w="200"/>
              <w:bottom w:type="dxa" w:w="160"/>
              <w:right w:type="dxa" w:w="160"/>
            </w:tcMar>
          </w:tcPr>
          <w:p>
            <w:pPr>
              <w:spacing w:after="0" w:before="0" w:line="260"/>
            </w:pPr>
            <w:r>
              <w:rPr>
                <w:rFonts w:ascii="Consolas" w:cs="Consolas" w:eastAsia="Consolas" w:hAnsi="Consolas"/>
                <w:color w:val="1A2744"/>
                <w:sz w:val="20"/>
                <w:szCs w:val="20"/>
              </w:rPr>
              <w:t xml:space="preserve">FINANCIAL_SERVICES_TICKERS = [</w:t>
            </w:r>
          </w:p>
          <w:p>
            <w:pPr>
              <w:spacing w:after="0" w:before="0" w:line="260"/>
            </w:pPr>
            <w:r>
              <w:rPr>
                <w:rFonts w:ascii="Consolas" w:cs="Consolas" w:eastAsia="Consolas" w:hAnsi="Consolas"/>
                <w:color w:val="1A2744"/>
                <w:sz w:val="20"/>
                <w:szCs w:val="20"/>
              </w:rPr>
              <w:t xml:space="preserve">    # Money-center banks</w:t>
            </w:r>
          </w:p>
          <w:p>
            <w:pPr>
              <w:spacing w:after="0" w:before="0" w:line="260"/>
            </w:pPr>
            <w:r>
              <w:rPr>
                <w:rFonts w:ascii="Consolas" w:cs="Consolas" w:eastAsia="Consolas" w:hAnsi="Consolas"/>
                <w:color w:val="1A2744"/>
                <w:sz w:val="20"/>
                <w:szCs w:val="20"/>
              </w:rPr>
              <w:t xml:space="preserve">    "JPM", "BAC", "WFC", "C",</w:t>
            </w:r>
          </w:p>
          <w:p>
            <w:pPr>
              <w:spacing w:after="0" w:before="0" w:line="260"/>
            </w:pPr>
            <w:r>
              <w:rPr>
                <w:rFonts w:ascii="Consolas" w:cs="Consolas" w:eastAsia="Consolas" w:hAnsi="Consolas"/>
                <w:color w:val="1A2744"/>
                <w:sz w:val="20"/>
                <w:szCs w:val="20"/>
              </w:rPr>
              <w:t xml:space="preserve">    # Regional banks</w:t>
            </w:r>
          </w:p>
          <w:p>
            <w:pPr>
              <w:spacing w:after="0" w:before="0" w:line="260"/>
            </w:pPr>
            <w:r>
              <w:rPr>
                <w:rFonts w:ascii="Consolas" w:cs="Consolas" w:eastAsia="Consolas" w:hAnsi="Consolas"/>
                <w:color w:val="1A2744"/>
                <w:sz w:val="20"/>
                <w:szCs w:val="20"/>
              </w:rPr>
              <w:t xml:space="preserve">    "PNC", "USB", "TFC",</w:t>
            </w:r>
          </w:p>
          <w:p>
            <w:pPr>
              <w:spacing w:after="0" w:before="0" w:line="260"/>
            </w:pPr>
            <w:r>
              <w:rPr>
                <w:rFonts w:ascii="Consolas" w:cs="Consolas" w:eastAsia="Consolas" w:hAnsi="Consolas"/>
                <w:color w:val="1A2744"/>
                <w:sz w:val="20"/>
                <w:szCs w:val="20"/>
              </w:rPr>
              <w:t xml:space="preserve">    # Asset management</w:t>
            </w:r>
          </w:p>
          <w:p>
            <w:pPr>
              <w:spacing w:after="0" w:before="0" w:line="260"/>
            </w:pPr>
            <w:r>
              <w:rPr>
                <w:rFonts w:ascii="Consolas" w:cs="Consolas" w:eastAsia="Consolas" w:hAnsi="Consolas"/>
                <w:color w:val="1A2744"/>
                <w:sz w:val="20"/>
                <w:szCs w:val="20"/>
              </w:rPr>
              <w:t xml:space="preserve">    "BLK", "BX",</w:t>
            </w:r>
          </w:p>
          <w:p>
            <w:pPr>
              <w:spacing w:after="0" w:before="0" w:line="260"/>
            </w:pPr>
            <w:r>
              <w:rPr>
                <w:rFonts w:ascii="Consolas" w:cs="Consolas" w:eastAsia="Consolas" w:hAnsi="Consolas"/>
                <w:color w:val="1A2744"/>
                <w:sz w:val="20"/>
                <w:szCs w:val="20"/>
              </w:rPr>
              <w:t xml:space="preserve">    # Insurance</w:t>
            </w:r>
          </w:p>
          <w:p>
            <w:pPr>
              <w:spacing w:after="0" w:before="0" w:line="260"/>
            </w:pPr>
            <w:r>
              <w:rPr>
                <w:rFonts w:ascii="Consolas" w:cs="Consolas" w:eastAsia="Consolas" w:hAnsi="Consolas"/>
                <w:color w:val="1A2744"/>
                <w:sz w:val="20"/>
                <w:szCs w:val="20"/>
              </w:rPr>
              <w:t xml:space="preserve">    "MET", "PRU",</w:t>
            </w:r>
          </w:p>
          <w:p>
            <w:pPr>
              <w:spacing w:after="0" w:before="0" w:line="260"/>
            </w:pPr>
            <w:r>
              <w:rPr>
                <w:rFonts w:ascii="Consolas" w:cs="Consolas" w:eastAsia="Consolas" w:hAnsi="Consolas"/>
                <w:color w:val="1A2744"/>
                <w:sz w:val="20"/>
                <w:szCs w:val="20"/>
              </w:rPr>
              <w:t xml:space="preserve">    # Payments</w:t>
            </w:r>
          </w:p>
          <w:p>
            <w:pPr>
              <w:spacing w:after="0" w:before="0" w:line="260"/>
            </w:pPr>
            <w:r>
              <w:rPr>
                <w:rFonts w:ascii="Consolas" w:cs="Consolas" w:eastAsia="Consolas" w:hAnsi="Consolas"/>
                <w:color w:val="1A2744"/>
                <w:sz w:val="20"/>
                <w:szCs w:val="20"/>
              </w:rPr>
              <w:t xml:space="preserve">    "V", "MA", "AXP",</w:t>
            </w:r>
          </w:p>
          <w:p>
            <w:pPr>
              <w:spacing w:after="0" w:before="0" w:line="260"/>
            </w:pPr>
            <w:r>
              <w:rPr>
                <w:rFonts w:ascii="Consolas" w:cs="Consolas" w:eastAsia="Consolas" w:hAnsi="Consolas"/>
                <w:color w:val="1A2744"/>
                <w:sz w:val="20"/>
                <w:szCs w:val="20"/>
              </w:rPr>
              <w:t xml:space="preserve">]</w:t>
            </w:r>
          </w:p>
        </w:tc>
      </w:tr>
    </w:tbl>
    <w:p>
      <w:pPr>
        <w:spacing w:after="80" w:before="160"/>
      </w:pPr>
      <w:r>
        <w:rPr>
          <w:rFonts w:ascii="Calibri" w:cs="Calibri" w:eastAsia="Calibri" w:hAnsi="Calibri"/>
          <w:b/>
          <w:bCs/>
          <w:color w:val="0F7B72"/>
          <w:sz w:val="22"/>
          <w:szCs w:val="22"/>
        </w:rPr>
        <w:t xml:space="preserve">Financial Services search phrases (default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A8" w:sz="24" w:space="6"/>
              <w:bottom w:val="none" w:color="FFFFFF" w:sz="0"/>
              <w:right w:val="none" w:color="FFFFFF" w:sz="0"/>
            </w:tcBorders>
            <w:shd w:fill="F3F4F6" w:color="auto" w:val="clear"/>
            <w:tcMar>
              <w:top w:type="dxa" w:w="160"/>
              <w:left w:type="dxa" w:w="200"/>
              <w:bottom w:type="dxa" w:w="160"/>
              <w:right w:type="dxa" w:w="160"/>
            </w:tcMar>
          </w:tcPr>
          <w:p>
            <w:pPr>
              <w:spacing w:after="0" w:before="0" w:line="260"/>
            </w:pPr>
            <w:r>
              <w:rPr>
                <w:rFonts w:ascii="Consolas" w:cs="Consolas" w:eastAsia="Consolas" w:hAnsi="Consolas"/>
                <w:color w:val="1A2744"/>
                <w:sz w:val="20"/>
                <w:szCs w:val="20"/>
              </w:rPr>
              <w:t xml:space="preserve">FINANCIAL_SERVICES_PHRASES = [</w:t>
            </w:r>
          </w:p>
          <w:p>
            <w:pPr>
              <w:spacing w:after="0" w:before="0" w:line="260"/>
            </w:pPr>
            <w:r>
              <w:rPr>
                <w:rFonts w:ascii="Consolas" w:cs="Consolas" w:eastAsia="Consolas" w:hAnsi="Consolas"/>
                <w:color w:val="1A2744"/>
                <w:sz w:val="20"/>
                <w:szCs w:val="20"/>
              </w:rPr>
              <w:t xml:space="preserve">    '"new branch"',</w:t>
            </w:r>
          </w:p>
          <w:p>
            <w:pPr>
              <w:spacing w:after="0" w:before="0" w:line="260"/>
            </w:pPr>
            <w:r>
              <w:rPr>
                <w:rFonts w:ascii="Consolas" w:cs="Consolas" w:eastAsia="Consolas" w:hAnsi="Consolas"/>
                <w:color w:val="1A2744"/>
                <w:sz w:val="20"/>
                <w:szCs w:val="20"/>
              </w:rPr>
              <w:t xml:space="preserve">    '"branch opening"',</w:t>
            </w:r>
          </w:p>
          <w:p>
            <w:pPr>
              <w:spacing w:after="0" w:before="0" w:line="260"/>
            </w:pPr>
            <w:r>
              <w:rPr>
                <w:rFonts w:ascii="Consolas" w:cs="Consolas" w:eastAsia="Consolas" w:hAnsi="Consolas"/>
                <w:color w:val="1A2744"/>
                <w:sz w:val="20"/>
                <w:szCs w:val="20"/>
              </w:rPr>
              <w:t xml:space="preserve">    '"branch closure"',</w:t>
            </w:r>
          </w:p>
          <w:p>
            <w:pPr>
              <w:spacing w:after="0" w:before="0" w:line="260"/>
            </w:pPr>
            <w:r>
              <w:rPr>
                <w:rFonts w:ascii="Consolas" w:cs="Consolas" w:eastAsia="Consolas" w:hAnsi="Consolas"/>
                <w:color w:val="1A2744"/>
                <w:sz w:val="20"/>
                <w:szCs w:val="20"/>
              </w:rPr>
              <w:t xml:space="preserve">    '"branch closing"',</w:t>
            </w:r>
          </w:p>
          <w:p>
            <w:pPr>
              <w:spacing w:after="0" w:before="0" w:line="260"/>
            </w:pPr>
            <w:r>
              <w:rPr>
                <w:rFonts w:ascii="Consolas" w:cs="Consolas" w:eastAsia="Consolas" w:hAnsi="Consolas"/>
                <w:color w:val="1A2744"/>
                <w:sz w:val="20"/>
                <w:szCs w:val="20"/>
              </w:rPr>
              <w:t xml:space="preserve">    '"branch consolidation"',</w:t>
            </w:r>
          </w:p>
          <w:p>
            <w:pPr>
              <w:spacing w:after="0" w:before="0" w:line="260"/>
            </w:pPr>
            <w:r>
              <w:rPr>
                <w:rFonts w:ascii="Consolas" w:cs="Consolas" w:eastAsia="Consolas" w:hAnsi="Consolas"/>
                <w:color w:val="1A2744"/>
                <w:sz w:val="20"/>
                <w:szCs w:val="20"/>
              </w:rPr>
              <w:t xml:space="preserve">    '"regional office"',</w:t>
            </w:r>
          </w:p>
          <w:p>
            <w:pPr>
              <w:spacing w:after="0" w:before="0" w:line="260"/>
            </w:pPr>
            <w:r>
              <w:rPr>
                <w:rFonts w:ascii="Consolas" w:cs="Consolas" w:eastAsia="Consolas" w:hAnsi="Consolas"/>
                <w:color w:val="1A2744"/>
                <w:sz w:val="20"/>
                <w:szCs w:val="20"/>
              </w:rPr>
              <w:t xml:space="preserve">    '"office closure"',</w:t>
            </w:r>
          </w:p>
          <w:p>
            <w:pPr>
              <w:spacing w:after="0" w:before="0" w:line="260"/>
            </w:pPr>
            <w:r>
              <w:rPr>
                <w:rFonts w:ascii="Consolas" w:cs="Consolas" w:eastAsia="Consolas" w:hAnsi="Consolas"/>
                <w:color w:val="1A2744"/>
                <w:sz w:val="20"/>
                <w:szCs w:val="20"/>
              </w:rPr>
              <w:t xml:space="preserve">    '"operations center"',</w:t>
            </w:r>
          </w:p>
          <w:p>
            <w:pPr>
              <w:spacing w:after="0" w:before="0" w:line="260"/>
            </w:pPr>
            <w:r>
              <w:rPr>
                <w:rFonts w:ascii="Consolas" w:cs="Consolas" w:eastAsia="Consolas" w:hAnsi="Consolas"/>
                <w:color w:val="1A2744"/>
                <w:sz w:val="20"/>
                <w:szCs w:val="20"/>
              </w:rPr>
              <w:t xml:space="preserve">    '"data center"',</w:t>
            </w:r>
          </w:p>
          <w:p>
            <w:pPr>
              <w:spacing w:after="0" w:before="0" w:line="260"/>
            </w:pPr>
            <w:r>
              <w:rPr>
                <w:rFonts w:ascii="Consolas" w:cs="Consolas" w:eastAsia="Consolas" w:hAnsi="Consolas"/>
                <w:color w:val="1A2744"/>
                <w:sz w:val="20"/>
                <w:szCs w:val="20"/>
              </w:rPr>
              <w:t xml:space="preserve">    '"new location"',</w:t>
            </w:r>
          </w:p>
          <w:p>
            <w:pPr>
              <w:spacing w:after="0" w:before="0" w:line="260"/>
            </w:pPr>
            <w:r>
              <w:rPr>
                <w:rFonts w:ascii="Consolas" w:cs="Consolas" w:eastAsia="Consolas" w:hAnsi="Consolas"/>
                <w:color w:val="1A2744"/>
                <w:sz w:val="20"/>
                <w:szCs w:val="20"/>
              </w:rPr>
              <w:t xml:space="preserve">]</w:t>
            </w:r>
          </w:p>
        </w:tc>
      </w:tr>
    </w:tbl>
    <w:p>
      <w:pPr>
        <w:spacing w:after="100" w:before="220"/>
      </w:pPr>
      <w:r>
        <w:rPr>
          <w:rFonts w:ascii="Calibri" w:cs="Calibri" w:eastAsia="Calibri" w:hAnsi="Calibri"/>
          <w:b/>
          <w:bCs/>
          <w:color w:val="2563A8"/>
          <w:sz w:val="24"/>
          <w:szCs w:val="24"/>
        </w:rPr>
        <w:t xml:space="preserve">Seeded defaults — Travel and Hospitality</w:t>
      </w:r>
    </w:p>
    <w:p>
      <w:pPr>
        <w:spacing w:after="80" w:before="160"/>
      </w:pPr>
      <w:r>
        <w:rPr>
          <w:rFonts w:ascii="Calibri" w:cs="Calibri" w:eastAsia="Calibri" w:hAnsi="Calibri"/>
          <w:b/>
          <w:bCs/>
          <w:color w:val="0F7B72"/>
          <w:sz w:val="22"/>
          <w:szCs w:val="22"/>
        </w:rPr>
        <w:t xml:space="preserve">Travel and Hospitality tickers (default seed, 14 companies across sub-segments)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A8" w:sz="24" w:space="6"/>
              <w:bottom w:val="none" w:color="FFFFFF" w:sz="0"/>
              <w:right w:val="none" w:color="FFFFFF" w:sz="0"/>
            </w:tcBorders>
            <w:shd w:fill="F3F4F6" w:color="auto" w:val="clear"/>
            <w:tcMar>
              <w:top w:type="dxa" w:w="160"/>
              <w:left w:type="dxa" w:w="200"/>
              <w:bottom w:type="dxa" w:w="160"/>
              <w:right w:type="dxa" w:w="160"/>
            </w:tcMar>
          </w:tcPr>
          <w:p>
            <w:pPr>
              <w:spacing w:after="0" w:before="0" w:line="260"/>
            </w:pPr>
            <w:r>
              <w:rPr>
                <w:rFonts w:ascii="Consolas" w:cs="Consolas" w:eastAsia="Consolas" w:hAnsi="Consolas"/>
                <w:color w:val="1A2744"/>
                <w:sz w:val="20"/>
                <w:szCs w:val="20"/>
              </w:rPr>
              <w:t xml:space="preserve">TRAVEL_HOSPITALITY_TICKERS = [</w:t>
            </w:r>
          </w:p>
          <w:p>
            <w:pPr>
              <w:spacing w:after="0" w:before="0" w:line="260"/>
            </w:pPr>
            <w:r>
              <w:rPr>
                <w:rFonts w:ascii="Consolas" w:cs="Consolas" w:eastAsia="Consolas" w:hAnsi="Consolas"/>
                <w:color w:val="1A2744"/>
                <w:sz w:val="20"/>
                <w:szCs w:val="20"/>
              </w:rPr>
              <w:t xml:space="preserve">    # Hotels</w:t>
            </w:r>
          </w:p>
          <w:p>
            <w:pPr>
              <w:spacing w:after="0" w:before="0" w:line="260"/>
            </w:pPr>
            <w:r>
              <w:rPr>
                <w:rFonts w:ascii="Consolas" w:cs="Consolas" w:eastAsia="Consolas" w:hAnsi="Consolas"/>
                <w:color w:val="1A2744"/>
                <w:sz w:val="20"/>
                <w:szCs w:val="20"/>
              </w:rPr>
              <w:t xml:space="preserve">    "MAR", "HLT", "H", "CHH", "WH",</w:t>
            </w:r>
          </w:p>
          <w:p>
            <w:pPr>
              <w:spacing w:after="0" w:before="0" w:line="260"/>
            </w:pPr>
            <w:r>
              <w:rPr>
                <w:rFonts w:ascii="Consolas" w:cs="Consolas" w:eastAsia="Consolas" w:hAnsi="Consolas"/>
                <w:color w:val="1A2744"/>
                <w:sz w:val="20"/>
                <w:szCs w:val="20"/>
              </w:rPr>
              <w:t xml:space="preserve">    # Cruise</w:t>
            </w:r>
          </w:p>
          <w:p>
            <w:pPr>
              <w:spacing w:after="0" w:before="0" w:line="260"/>
            </w:pPr>
            <w:r>
              <w:rPr>
                <w:rFonts w:ascii="Consolas" w:cs="Consolas" w:eastAsia="Consolas" w:hAnsi="Consolas"/>
                <w:color w:val="1A2744"/>
                <w:sz w:val="20"/>
                <w:szCs w:val="20"/>
              </w:rPr>
              <w:t xml:space="preserve">    "CCL", "RCL", "NCLH",</w:t>
            </w:r>
          </w:p>
          <w:p>
            <w:pPr>
              <w:spacing w:after="0" w:before="0" w:line="260"/>
            </w:pPr>
            <w:r>
              <w:rPr>
                <w:rFonts w:ascii="Consolas" w:cs="Consolas" w:eastAsia="Consolas" w:hAnsi="Consolas"/>
                <w:color w:val="1A2744"/>
                <w:sz w:val="20"/>
                <w:szCs w:val="20"/>
              </w:rPr>
              <w:t xml:space="preserve">    # Airlines</w:t>
            </w:r>
          </w:p>
          <w:p>
            <w:pPr>
              <w:spacing w:after="0" w:before="0" w:line="260"/>
            </w:pPr>
            <w:r>
              <w:rPr>
                <w:rFonts w:ascii="Consolas" w:cs="Consolas" w:eastAsia="Consolas" w:hAnsi="Consolas"/>
                <w:color w:val="1A2744"/>
                <w:sz w:val="20"/>
                <w:szCs w:val="20"/>
              </w:rPr>
              <w:t xml:space="preserve">    "DAL", "UAL", "AAL", "LUV",</w:t>
            </w:r>
          </w:p>
          <w:p>
            <w:pPr>
              <w:spacing w:after="0" w:before="0" w:line="260"/>
            </w:pPr>
            <w:r>
              <w:rPr>
                <w:rFonts w:ascii="Consolas" w:cs="Consolas" w:eastAsia="Consolas" w:hAnsi="Consolas"/>
                <w:color w:val="1A2744"/>
                <w:sz w:val="20"/>
                <w:szCs w:val="20"/>
              </w:rPr>
              <w:t xml:space="preserve">    # Online travel</w:t>
            </w:r>
          </w:p>
          <w:p>
            <w:pPr>
              <w:spacing w:after="0" w:before="0" w:line="260"/>
            </w:pPr>
            <w:r>
              <w:rPr>
                <w:rFonts w:ascii="Consolas" w:cs="Consolas" w:eastAsia="Consolas" w:hAnsi="Consolas"/>
                <w:color w:val="1A2744"/>
                <w:sz w:val="20"/>
                <w:szCs w:val="20"/>
              </w:rPr>
              <w:t xml:space="preserve">    "BKNG", "EXPE",</w:t>
            </w:r>
          </w:p>
          <w:p>
            <w:pPr>
              <w:spacing w:after="0" w:before="0" w:line="260"/>
            </w:pPr>
            <w:r>
              <w:rPr>
                <w:rFonts w:ascii="Consolas" w:cs="Consolas" w:eastAsia="Consolas" w:hAnsi="Consolas"/>
                <w:color w:val="1A2744"/>
                <w:sz w:val="20"/>
                <w:szCs w:val="20"/>
              </w:rPr>
              <w:t xml:space="preserve">]</w:t>
            </w:r>
          </w:p>
        </w:tc>
      </w:tr>
    </w:tbl>
    <w:p>
      <w:pPr>
        <w:spacing w:after="80" w:before="160"/>
      </w:pPr>
      <w:r>
        <w:rPr>
          <w:rFonts w:ascii="Calibri" w:cs="Calibri" w:eastAsia="Calibri" w:hAnsi="Calibri"/>
          <w:b/>
          <w:bCs/>
          <w:color w:val="0F7B72"/>
          <w:sz w:val="22"/>
          <w:szCs w:val="22"/>
        </w:rPr>
        <w:t xml:space="preserve">Travel and Hospitality search phrases (default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A8" w:sz="24" w:space="6"/>
              <w:bottom w:val="none" w:color="FFFFFF" w:sz="0"/>
              <w:right w:val="none" w:color="FFFFFF" w:sz="0"/>
            </w:tcBorders>
            <w:shd w:fill="F3F4F6" w:color="auto" w:val="clear"/>
            <w:tcMar>
              <w:top w:type="dxa" w:w="160"/>
              <w:left w:type="dxa" w:w="200"/>
              <w:bottom w:type="dxa" w:w="160"/>
              <w:right w:type="dxa" w:w="160"/>
            </w:tcMar>
          </w:tcPr>
          <w:p>
            <w:pPr>
              <w:spacing w:after="0" w:before="0" w:line="260"/>
            </w:pPr>
            <w:r>
              <w:rPr>
                <w:rFonts w:ascii="Consolas" w:cs="Consolas" w:eastAsia="Consolas" w:hAnsi="Consolas"/>
                <w:color w:val="1A2744"/>
                <w:sz w:val="20"/>
                <w:szCs w:val="20"/>
              </w:rPr>
              <w:t xml:space="preserve">TRAVEL_HOSPITALITY_PHRASES = [</w:t>
            </w:r>
          </w:p>
          <w:p>
            <w:pPr>
              <w:spacing w:after="0" w:before="0" w:line="260"/>
            </w:pPr>
            <w:r>
              <w:rPr>
                <w:rFonts w:ascii="Consolas" w:cs="Consolas" w:eastAsia="Consolas" w:hAnsi="Consolas"/>
                <w:color w:val="1A2744"/>
                <w:sz w:val="20"/>
                <w:szCs w:val="20"/>
              </w:rPr>
              <w:t xml:space="preserve">    '"new property"',</w:t>
            </w:r>
          </w:p>
          <w:p>
            <w:pPr>
              <w:spacing w:after="0" w:before="0" w:line="260"/>
            </w:pPr>
            <w:r>
              <w:rPr>
                <w:rFonts w:ascii="Consolas" w:cs="Consolas" w:eastAsia="Consolas" w:hAnsi="Consolas"/>
                <w:color w:val="1A2744"/>
                <w:sz w:val="20"/>
                <w:szCs w:val="20"/>
              </w:rPr>
              <w:t xml:space="preserve">    '"new hotel"',</w:t>
            </w:r>
          </w:p>
          <w:p>
            <w:pPr>
              <w:spacing w:after="0" w:before="0" w:line="260"/>
            </w:pPr>
            <w:r>
              <w:rPr>
                <w:rFonts w:ascii="Consolas" w:cs="Consolas" w:eastAsia="Consolas" w:hAnsi="Consolas"/>
                <w:color w:val="1A2744"/>
                <w:sz w:val="20"/>
                <w:szCs w:val="20"/>
              </w:rPr>
              <w:t xml:space="preserve">    '"hotel opening"',</w:t>
            </w:r>
          </w:p>
          <w:p>
            <w:pPr>
              <w:spacing w:after="0" w:before="0" w:line="260"/>
            </w:pPr>
            <w:r>
              <w:rPr>
                <w:rFonts w:ascii="Consolas" w:cs="Consolas" w:eastAsia="Consolas" w:hAnsi="Consolas"/>
                <w:color w:val="1A2744"/>
                <w:sz w:val="20"/>
                <w:szCs w:val="20"/>
              </w:rPr>
              <w:t xml:space="preserve">    '"resort opening"',</w:t>
            </w:r>
          </w:p>
          <w:p>
            <w:pPr>
              <w:spacing w:after="0" w:before="0" w:line="260"/>
            </w:pPr>
            <w:r>
              <w:rPr>
                <w:rFonts w:ascii="Consolas" w:cs="Consolas" w:eastAsia="Consolas" w:hAnsi="Consolas"/>
                <w:color w:val="1A2744"/>
                <w:sz w:val="20"/>
                <w:szCs w:val="20"/>
              </w:rPr>
              <w:t xml:space="preserve">    '"property opening"',</w:t>
            </w:r>
          </w:p>
          <w:p>
            <w:pPr>
              <w:spacing w:after="0" w:before="0" w:line="260"/>
            </w:pPr>
            <w:r>
              <w:rPr>
                <w:rFonts w:ascii="Consolas" w:cs="Consolas" w:eastAsia="Consolas" w:hAnsi="Consolas"/>
                <w:color w:val="1A2744"/>
                <w:sz w:val="20"/>
                <w:szCs w:val="20"/>
              </w:rPr>
              <w:t xml:space="preserve">    '"brand conversion"',</w:t>
            </w:r>
          </w:p>
          <w:p>
            <w:pPr>
              <w:spacing w:after="0" w:before="0" w:line="260"/>
            </w:pPr>
            <w:r>
              <w:rPr>
                <w:rFonts w:ascii="Consolas" w:cs="Consolas" w:eastAsia="Consolas" w:hAnsi="Consolas"/>
                <w:color w:val="1A2744"/>
                <w:sz w:val="20"/>
                <w:szCs w:val="20"/>
              </w:rPr>
              <w:t xml:space="preserve">    '"new route"',</w:t>
            </w:r>
          </w:p>
          <w:p>
            <w:pPr>
              <w:spacing w:after="0" w:before="0" w:line="260"/>
            </w:pPr>
            <w:r>
              <w:rPr>
                <w:rFonts w:ascii="Consolas" w:cs="Consolas" w:eastAsia="Consolas" w:hAnsi="Consolas"/>
                <w:color w:val="1A2744"/>
                <w:sz w:val="20"/>
                <w:szCs w:val="20"/>
              </w:rPr>
              <w:t xml:space="preserve">    '"new gateway"',</w:t>
            </w:r>
          </w:p>
          <w:p>
            <w:pPr>
              <w:spacing w:after="0" w:before="0" w:line="260"/>
            </w:pPr>
            <w:r>
              <w:rPr>
                <w:rFonts w:ascii="Consolas" w:cs="Consolas" w:eastAsia="Consolas" w:hAnsi="Consolas"/>
                <w:color w:val="1A2744"/>
                <w:sz w:val="20"/>
                <w:szCs w:val="20"/>
              </w:rPr>
              <w:t xml:space="preserve">    '"new terminal"',</w:t>
            </w:r>
          </w:p>
          <w:p>
            <w:pPr>
              <w:spacing w:after="0" w:before="0" w:line="260"/>
            </w:pPr>
            <w:r>
              <w:rPr>
                <w:rFonts w:ascii="Consolas" w:cs="Consolas" w:eastAsia="Consolas" w:hAnsi="Consolas"/>
                <w:color w:val="1A2744"/>
                <w:sz w:val="20"/>
                <w:szCs w:val="20"/>
              </w:rPr>
              <w:t xml:space="preserve">    '"grand opening"',</w:t>
            </w:r>
          </w:p>
          <w:p>
            <w:pPr>
              <w:spacing w:after="0" w:before="0" w:line="260"/>
            </w:pPr>
            <w:r>
              <w:rPr>
                <w:rFonts w:ascii="Consolas" w:cs="Consolas" w:eastAsia="Consolas" w:hAnsi="Consolas"/>
                <w:color w:val="1A2744"/>
                <w:sz w:val="20"/>
                <w:szCs w:val="20"/>
              </w:rPr>
              <w:t xml:space="preserve">]</w:t>
            </w:r>
          </w:p>
        </w:tc>
      </w:tr>
    </w:tbl>
    <w:p>
      <w:pPr>
        <w:spacing w:after="140" w:before="0"/>
        <w:jc w:val="left"/>
      </w:pPr>
      <w:r>
        <w:rPr>
          <w:rFonts w:ascii="Calibri" w:cs="Calibri" w:eastAsia="Calibri" w:hAnsi="Calibri"/>
          <w:color w:val="1F2937"/>
          <w:sz w:val="22"/>
          <w:szCs w:val="22"/>
        </w:rPr>
        <w:t xml:space="preserve">These seeds were chosen to give each industry a working starting point, not to be optimal. The Financial Services seed is biased toward retail-banking events and undercounts capital-markets activity; the Travel and Hospitality seed mixes hotel-style and airline-style location events that may warrant separate treatment in your map. Identifying these limitations and proposing fixes is the methodology section’s purpose.</w:t>
      </w:r>
    </w:p>
    <w:p>
      <w:pPr>
        <w:pBdr>
          <w:bottom w:val="single" w:color="2563A8" w:sz="8" w:space="1"/>
        </w:pBdr>
        <w:spacing w:after="140" w:before="320"/>
      </w:pPr>
      <w:r>
        <w:rPr>
          <w:rFonts w:ascii="Calibri" w:cs="Calibri" w:eastAsia="Calibri" w:hAnsi="Calibri"/>
          <w:b/>
          <w:bCs/>
          <w:color w:val="1A2744"/>
          <w:sz w:val="28"/>
          <w:szCs w:val="28"/>
        </w:rPr>
        <w:t xml:space="preserve">4.  Window-Tuning Experiment</w:t>
      </w:r>
    </w:p>
    <w:p>
      <w:pPr>
        <w:spacing w:after="140" w:before="0"/>
        <w:jc w:val="left"/>
      </w:pPr>
      <w:r>
        <w:rPr>
          <w:rFonts w:ascii="Calibri" w:cs="Calibri" w:eastAsia="Calibri" w:hAnsi="Calibri"/>
          <w:color w:val="1F2937"/>
          <w:sz w:val="22"/>
          <w:szCs w:val="22"/>
        </w:rPr>
        <w:t xml:space="preserve">The Module 15 walkthrough used a fixed 30-day window because that window happened to yield approximately 17 location events across all of corporate America. When you restrict the candidate set to ~14 tickers in one industry, that 30-day window may yield zero or one events — too few to map meaningfully. A larger window yields more events but costs more to process. The first technical task of MP03 is to determine, empirically, the smallest window that produces enough events for a meaningful comparison map without exceeding the API cost ceiling.</w:t>
      </w:r>
    </w:p>
    <w:p>
      <w:pPr>
        <w:spacing w:after="100" w:before="220"/>
      </w:pPr>
      <w:r>
        <w:rPr>
          <w:rFonts w:ascii="Calibri" w:cs="Calibri" w:eastAsia="Calibri" w:hAnsi="Calibri"/>
          <w:b/>
          <w:bCs/>
          <w:color w:val="2563A8"/>
          <w:sz w:val="24"/>
          <w:szCs w:val="24"/>
        </w:rPr>
        <w:t xml:space="preserve">Protocol</w:t>
      </w:r>
    </w:p>
    <w:p>
      <w:pPr>
        <w:pStyle w:val="ListParagraph"/>
        <w:numPr>
          <w:ilvl w:val="0"/>
          <w:numId w:val="3"/>
        </w:numPr>
        <w:spacing w:after="80" w:before="0"/>
      </w:pPr>
      <w:r>
        <w:rPr>
          <w:rFonts w:ascii="Calibri" w:cs="Calibri" w:eastAsia="Calibri" w:hAnsi="Calibri"/>
          <w:color w:val="1F2937"/>
          <w:sz w:val="22"/>
          <w:szCs w:val="22"/>
        </w:rPr>
        <w:t xml:space="preserve">Begin at WINDOW_DAYS = 30. Run the pipeline for both industries at this window. Record candidate count, classified-event count, and estimated cumulative API cost for each industry in the window-experiment results table.</w:t>
      </w:r>
    </w:p>
    <w:p>
      <w:pPr>
        <w:pStyle w:val="ListParagraph"/>
        <w:numPr>
          <w:ilvl w:val="0"/>
          <w:numId w:val="3"/>
        </w:numPr>
        <w:spacing w:after="80" w:before="0"/>
      </w:pPr>
      <w:r>
        <w:rPr>
          <w:rFonts w:ascii="Calibri" w:cs="Calibri" w:eastAsia="Calibri" w:hAnsi="Calibri"/>
          <w:color w:val="1F2937"/>
          <w:sz w:val="22"/>
          <w:szCs w:val="22"/>
        </w:rPr>
        <w:t xml:space="preserve">If both industries reach the event-count target (see below), stop. Otherwise, advance to the next window length and repeat: 60, then 90, then 180, then 360.</w:t>
      </w:r>
    </w:p>
    <w:p>
      <w:pPr>
        <w:pStyle w:val="ListParagraph"/>
        <w:numPr>
          <w:ilvl w:val="0"/>
          <w:numId w:val="3"/>
        </w:numPr>
        <w:spacing w:after="80" w:before="0"/>
      </w:pPr>
      <w:r>
        <w:rPr>
          <w:rFonts w:ascii="Calibri" w:cs="Calibri" w:eastAsia="Calibri" w:hAnsi="Calibri"/>
          <w:color w:val="1F2937"/>
          <w:sz w:val="22"/>
          <w:szCs w:val="22"/>
        </w:rPr>
        <w:t xml:space="preserve">Stop at the first window where both industries reach the event-count target, OR at 360 days, whichever comes first.</w:t>
      </w:r>
    </w:p>
    <w:p>
      <w:pPr>
        <w:pStyle w:val="ListParagraph"/>
        <w:numPr>
          <w:ilvl w:val="0"/>
          <w:numId w:val="3"/>
        </w:numPr>
        <w:spacing w:after="80" w:before="0"/>
      </w:pPr>
      <w:r>
        <w:rPr>
          <w:rFonts w:ascii="Calibri" w:cs="Calibri" w:eastAsia="Calibri" w:hAnsi="Calibri"/>
          <w:color w:val="1F2937"/>
          <w:sz w:val="22"/>
          <w:szCs w:val="22"/>
        </w:rPr>
        <w:t xml:space="preserve">If 360 days is reached and one or both industries still fall short, document this in the methodology section. A short-fall is acceptable provided it is acknowledged and its implications for the comparative reflection are addressed honestly.</w:t>
      </w:r>
    </w:p>
    <w:p>
      <w:pPr>
        <w:spacing w:after="100" w:before="220"/>
      </w:pPr>
      <w:r>
        <w:rPr>
          <w:rFonts w:ascii="Calibri" w:cs="Calibri" w:eastAsia="Calibri" w:hAnsi="Calibri"/>
          <w:b/>
          <w:bCs/>
          <w:color w:val="2563A8"/>
          <w:sz w:val="24"/>
          <w:szCs w:val="24"/>
        </w:rPr>
        <w:t xml:space="preserve">Stopping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D1D5DB" w:sz="4"/>
              <w:left w:val="single" w:color="D1D5DB" w:sz="4"/>
              <w:bottom w:val="single" w:color="D1D5DB" w:sz="4"/>
              <w:right w:val="single" w:color="D1D5DB" w:sz="4"/>
            </w:tcBorders>
            <w:shd w:fill="E5EEF7" w:color="auto" w:val="clear"/>
            <w:tcMar>
              <w:top w:type="dxa" w:w="80"/>
              <w:left w:type="dxa" w:w="120"/>
              <w:bottom w:type="dxa" w:w="80"/>
              <w:right w:type="dxa" w:w="120"/>
            </w:tcMar>
          </w:tcPr>
          <w:p>
            <w:pPr>
              <w:spacing w:after="0" w:before="0"/>
            </w:pPr>
            <w:r>
              <w:rPr>
                <w:rFonts w:ascii="Calibri" w:cs="Calibri" w:eastAsia="Calibri" w:hAnsi="Calibri"/>
                <w:b/>
                <w:bCs/>
                <w:color w:val="1A2744"/>
                <w:sz w:val="22"/>
                <w:szCs w:val="22"/>
              </w:rPr>
              <w:t xml:space="preserve">Criterion</w:t>
            </w:r>
          </w:p>
        </w:tc>
        <w:tc>
          <w:tcPr>
            <w:tcW w:type="dxa" w:w="3360"/>
            <w:tcBorders>
              <w:top w:val="single" w:color="D1D5DB" w:sz="4"/>
              <w:left w:val="single" w:color="D1D5DB" w:sz="4"/>
              <w:bottom w:val="single" w:color="D1D5DB" w:sz="4"/>
              <w:right w:val="single" w:color="D1D5DB" w:sz="4"/>
            </w:tcBorders>
            <w:shd w:fill="E5EEF7" w:color="auto" w:val="clear"/>
            <w:tcMar>
              <w:top w:type="dxa" w:w="80"/>
              <w:left w:type="dxa" w:w="120"/>
              <w:bottom w:type="dxa" w:w="80"/>
              <w:right w:type="dxa" w:w="120"/>
            </w:tcMar>
          </w:tcPr>
          <w:p>
            <w:pPr>
              <w:spacing w:after="0" w:before="0"/>
            </w:pPr>
            <w:r>
              <w:rPr>
                <w:rFonts w:ascii="Calibri" w:cs="Calibri" w:eastAsia="Calibri" w:hAnsi="Calibri"/>
                <w:b/>
                <w:bCs/>
                <w:color w:val="1A2744"/>
                <w:sz w:val="22"/>
                <w:szCs w:val="22"/>
              </w:rPr>
              <w:t xml:space="preserve">Threshold</w:t>
            </w:r>
          </w:p>
        </w:tc>
        <w:tc>
          <w:tcPr>
            <w:tcW w:type="dxa" w:w="3600"/>
            <w:tcBorders>
              <w:top w:val="single" w:color="D1D5DB" w:sz="4"/>
              <w:left w:val="single" w:color="D1D5DB" w:sz="4"/>
              <w:bottom w:val="single" w:color="D1D5DB" w:sz="4"/>
              <w:right w:val="single" w:color="D1D5DB" w:sz="4"/>
            </w:tcBorders>
            <w:shd w:fill="E5EEF7" w:color="auto" w:val="clear"/>
            <w:tcMar>
              <w:top w:type="dxa" w:w="80"/>
              <w:left w:type="dxa" w:w="120"/>
              <w:bottom w:type="dxa" w:w="80"/>
              <w:right w:type="dxa" w:w="120"/>
            </w:tcMar>
          </w:tcPr>
          <w:p>
            <w:pPr>
              <w:spacing w:after="0" w:before="0"/>
            </w:pPr>
            <w:r>
              <w:rPr>
                <w:rFonts w:ascii="Calibri" w:cs="Calibri" w:eastAsia="Calibri" w:hAnsi="Calibri"/>
                <w:b/>
                <w:bCs/>
                <w:color w:val="1A2744"/>
                <w:sz w:val="22"/>
                <w:szCs w:val="22"/>
              </w:rPr>
              <w:t xml:space="preserve">Notes</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Event-count target</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At least 8 location events per industry</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Below this threshold the map becomes too sparse to support a comparative argument.</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Cost ceiling</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$3.00 cumulative across all window-tuning trials</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This bound is generous given that filtering occurs before Stage 3, but it forces you to plan trials rather than re-run indiscriminately.</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Window ceiling</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360 days</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Beyond one year, the geographic story becomes harder to interpret because the underlying business conditions may have changed.</w:t>
            </w:r>
          </w:p>
        </w:tc>
      </w:tr>
    </w:tbl>
    <w:p>
      <w:pPr>
        <w:spacing w:after="120" w:before="0"/>
      </w:pPr>
      <w:r>
        <w:t xml:space="preserve"/>
      </w:r>
    </w:p>
    <w:p>
      <w:pPr>
        <w:spacing w:after="100" w:before="220"/>
      </w:pPr>
      <w:r>
        <w:rPr>
          <w:rFonts w:ascii="Calibri" w:cs="Calibri" w:eastAsia="Calibri" w:hAnsi="Calibri"/>
          <w:b/>
          <w:bCs/>
          <w:color w:val="2563A8"/>
          <w:sz w:val="24"/>
          <w:szCs w:val="24"/>
        </w:rPr>
        <w:t xml:space="preserve">Required deliverable: window-experiment results table</w:t>
      </w:r>
    </w:p>
    <w:p>
      <w:pPr>
        <w:spacing w:after="140" w:before="0"/>
        <w:jc w:val="left"/>
      </w:pPr>
      <w:r>
        <w:rPr>
          <w:rFonts w:ascii="Calibri" w:cs="Calibri" w:eastAsia="Calibri" w:hAnsi="Calibri"/>
          <w:color w:val="1F2937"/>
          <w:sz w:val="22"/>
          <w:szCs w:val="22"/>
        </w:rPr>
        <w:t xml:space="preserve">A table with the following exact columns appears in the methodology section of your notebook and in your written methodology document. Every row corresponds to one (industry, window) trial that you actually ran. Trials you did not run because the stopping criterion was met earlier do not need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D1D5DB" w:sz="4"/>
              <w:left w:val="single" w:color="D1D5DB" w:sz="4"/>
              <w:bottom w:val="single" w:color="D1D5DB" w:sz="4"/>
              <w:right w:val="single" w:color="D1D5DB" w:sz="4"/>
            </w:tcBorders>
            <w:shd w:fill="E5EEF7" w:color="auto" w:val="clear"/>
            <w:tcMar>
              <w:top w:type="dxa" w:w="80"/>
              <w:left w:type="dxa" w:w="120"/>
              <w:bottom w:type="dxa" w:w="80"/>
              <w:right w:type="dxa" w:w="120"/>
            </w:tcMar>
          </w:tcPr>
          <w:p>
            <w:pPr>
              <w:spacing w:after="0" w:before="0"/>
            </w:pPr>
            <w:r>
              <w:rPr>
                <w:rFonts w:ascii="Calibri" w:cs="Calibri" w:eastAsia="Calibri" w:hAnsi="Calibri"/>
                <w:b/>
                <w:bCs/>
                <w:color w:val="1A2744"/>
                <w:sz w:val="22"/>
                <w:szCs w:val="22"/>
              </w:rPr>
              <w:t xml:space="preserve">Column</w:t>
            </w:r>
          </w:p>
        </w:tc>
        <w:tc>
          <w:tcPr>
            <w:tcW w:type="dxa" w:w="1400"/>
            <w:tcBorders>
              <w:top w:val="single" w:color="D1D5DB" w:sz="4"/>
              <w:left w:val="single" w:color="D1D5DB" w:sz="4"/>
              <w:bottom w:val="single" w:color="D1D5DB" w:sz="4"/>
              <w:right w:val="single" w:color="D1D5DB" w:sz="4"/>
            </w:tcBorders>
            <w:shd w:fill="E5EEF7" w:color="auto" w:val="clear"/>
            <w:tcMar>
              <w:top w:type="dxa" w:w="80"/>
              <w:left w:type="dxa" w:w="120"/>
              <w:bottom w:type="dxa" w:w="80"/>
              <w:right w:type="dxa" w:w="120"/>
            </w:tcMar>
          </w:tcPr>
          <w:p>
            <w:pPr>
              <w:spacing w:after="0" w:before="0"/>
            </w:pPr>
            <w:r>
              <w:rPr>
                <w:rFonts w:ascii="Calibri" w:cs="Calibri" w:eastAsia="Calibri" w:hAnsi="Calibri"/>
                <w:b/>
                <w:bCs/>
                <w:color w:val="1A2744"/>
                <w:sz w:val="22"/>
                <w:szCs w:val="22"/>
              </w:rPr>
              <w:t xml:space="preserve">Type</w:t>
            </w:r>
          </w:p>
        </w:tc>
        <w:tc>
          <w:tcPr>
            <w:tcW w:type="dxa" w:w="5760"/>
            <w:tcBorders>
              <w:top w:val="single" w:color="D1D5DB" w:sz="4"/>
              <w:left w:val="single" w:color="D1D5DB" w:sz="4"/>
              <w:bottom w:val="single" w:color="D1D5DB" w:sz="4"/>
              <w:right w:val="single" w:color="D1D5DB" w:sz="4"/>
            </w:tcBorders>
            <w:shd w:fill="E5EEF7" w:color="auto" w:val="clear"/>
            <w:tcMar>
              <w:top w:type="dxa" w:w="80"/>
              <w:left w:type="dxa" w:w="120"/>
              <w:bottom w:type="dxa" w:w="80"/>
              <w:right w:type="dxa" w:w="120"/>
            </w:tcMar>
          </w:tcPr>
          <w:p>
            <w:pPr>
              <w:spacing w:after="0" w:before="0"/>
            </w:pPr>
            <w:r>
              <w:rPr>
                <w:rFonts w:ascii="Calibri" w:cs="Calibri" w:eastAsia="Calibri" w:hAnsi="Calibri"/>
                <w:b/>
                <w:bCs/>
                <w:color w:val="1A2744"/>
                <w:sz w:val="22"/>
                <w:szCs w:val="22"/>
              </w:rPr>
              <w:t xml:space="preserve">Source</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industry</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string</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Either "Financial Services" or "Travel and Hospitality"</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window_days</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integer</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One of 30, 60, 90, 180, 360</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candidate_count</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integer</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Length of filtered candidate list before Stage 3</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event_count</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integer</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Number of records where is_location_event is true</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estimated_cost_usd</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float</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Approximate API spend for this trial; sum of input + output token cost at Haiku 4.5 pricing</w:t>
            </w:r>
          </w:p>
        </w:tc>
      </w:tr>
    </w:tbl>
    <w:p>
      <w:pPr>
        <w:spacing w:after="120" w:before="0"/>
      </w:pPr>
      <w:r>
        <w:t xml:space="preserve"/>
      </w:r>
    </w:p>
    <w:p>
      <w:pPr>
        <w:spacing w:after="140" w:before="0"/>
        <w:jc w:val="left"/>
      </w:pPr>
      <w:r>
        <w:rPr>
          <w:rFonts w:ascii="Calibri" w:cs="Calibri" w:eastAsia="Calibri" w:hAnsi="Calibri"/>
          <w:color w:val="1F2937"/>
          <w:sz w:val="22"/>
          <w:szCs w:val="22"/>
        </w:rPr>
        <w:t xml:space="preserve">Cost estimation hint: the Anthropic SDK’s response object includes usage.input_tokens and usage.output_tokens. At Haiku 4.5 pricing of $1 per million input tokens and $5 per million output tokens, a per-call cost is computable directly. Sum across the calls in a trial to produce the estimated cost. Record this in the table even if the actual figure is small.</w:t>
      </w:r>
    </w:p>
    <w:p>
      <w:pPr>
        <w:pBdr>
          <w:bottom w:val="single" w:color="2563A8" w:sz="8" w:space="1"/>
        </w:pBdr>
        <w:spacing w:after="140" w:before="320"/>
      </w:pPr>
      <w:r>
        <w:rPr>
          <w:rFonts w:ascii="Calibri" w:cs="Calibri" w:eastAsia="Calibri" w:hAnsi="Calibri"/>
          <w:b/>
          <w:bCs/>
          <w:color w:val="1A2744"/>
          <w:sz w:val="28"/>
          <w:szCs w:val="28"/>
        </w:rPr>
        <w:t xml:space="preserve">5.  Reference Code: What Is Provided and What You Write</w:t>
      </w:r>
    </w:p>
    <w:p>
      <w:pPr>
        <w:spacing w:after="100" w:before="220"/>
      </w:pPr>
      <w:r>
        <w:rPr>
          <w:rFonts w:ascii="Calibri" w:cs="Calibri" w:eastAsia="Calibri" w:hAnsi="Calibri"/>
          <w:b/>
          <w:bCs/>
          <w:color w:val="2563A8"/>
          <w:sz w:val="24"/>
          <w:szCs w:val="24"/>
        </w:rPr>
        <w:t xml:space="preserve">Provided</w:t>
      </w:r>
    </w:p>
    <w:p>
      <w:pPr>
        <w:pStyle w:val="ListParagraph"/>
        <w:numPr>
          <w:ilvl w:val="0"/>
          <w:numId w:val="2"/>
        </w:numPr>
        <w:spacing w:after="80" w:before="0"/>
      </w:pPr>
      <w:r>
        <w:rPr>
          <w:rFonts w:ascii="Calibri" w:cs="Calibri" w:eastAsia="Calibri" w:hAnsi="Calibri"/>
          <w:color w:val="1F2937"/>
          <w:sz w:val="22"/>
          <w:szCs w:val="22"/>
        </w:rPr>
        <w:t xml:space="preserve">The Module 15 instructor notebook (canonical version) on Brightspace and in the course GitHub repository. This contains the validated pipeline for all five stages.</w:t>
      </w:r>
    </w:p>
    <w:p>
      <w:pPr>
        <w:pStyle w:val="ListParagraph"/>
        <w:numPr>
          <w:ilvl w:val="0"/>
          <w:numId w:val="2"/>
        </w:numPr>
        <w:spacing w:after="80" w:before="0"/>
      </w:pPr>
      <w:r>
        <w:rPr>
          <w:rFonts w:ascii="Calibri" w:cs="Calibri" w:eastAsia="Calibri" w:hAnsi="Calibri"/>
          <w:color w:val="1F2937"/>
          <w:sz w:val="22"/>
          <w:szCs w:val="22"/>
        </w:rPr>
        <w:t xml:space="preserve">The seeded ticker lists and search-phrase lists in Section 3 of this document. These are starting points, not final values.</w:t>
      </w:r>
    </w:p>
    <w:p>
      <w:pPr>
        <w:pStyle w:val="ListParagraph"/>
        <w:numPr>
          <w:ilvl w:val="0"/>
          <w:numId w:val="2"/>
        </w:numPr>
        <w:spacing w:after="80" w:before="0"/>
      </w:pPr>
      <w:r>
        <w:rPr>
          <w:rFonts w:ascii="Calibri" w:cs="Calibri" w:eastAsia="Calibri" w:hAnsi="Calibri"/>
          <w:color w:val="1F2937"/>
          <w:sz w:val="22"/>
          <w:szCs w:val="22"/>
        </w:rPr>
        <w:t xml:space="preserve">The Module 15 reading page and slide deck on Brightspace, which establish the conceptual framing.</w:t>
      </w:r>
    </w:p>
    <w:p>
      <w:pPr>
        <w:pStyle w:val="ListParagraph"/>
        <w:numPr>
          <w:ilvl w:val="0"/>
          <w:numId w:val="2"/>
        </w:numPr>
        <w:spacing w:after="80" w:before="0"/>
      </w:pPr>
      <w:r>
        <w:rPr>
          <w:rFonts w:ascii="Calibri" w:cs="Calibri" w:eastAsia="Calibri" w:hAnsi="Calibri"/>
          <w:color w:val="1F2937"/>
          <w:sz w:val="22"/>
          <w:szCs w:val="22"/>
        </w:rPr>
        <w:t xml:space="preserve">The recall-versus-precision discussion in Stage 3 of the instructor notebook, which is essential context for interpreting your event counts.</w:t>
      </w:r>
    </w:p>
    <w:p>
      <w:pPr>
        <w:spacing w:after="100" w:before="220"/>
      </w:pPr>
      <w:r>
        <w:rPr>
          <w:rFonts w:ascii="Calibri" w:cs="Calibri" w:eastAsia="Calibri" w:hAnsi="Calibri"/>
          <w:b/>
          <w:bCs/>
          <w:color w:val="2563A8"/>
          <w:sz w:val="24"/>
          <w:szCs w:val="24"/>
        </w:rPr>
        <w:t xml:space="preserve">What your team writes</w:t>
      </w:r>
    </w:p>
    <w:p>
      <w:pPr>
        <w:pStyle w:val="ListParagraph"/>
        <w:numPr>
          <w:ilvl w:val="0"/>
          <w:numId w:val="2"/>
        </w:numPr>
        <w:spacing w:after="80" w:before="0"/>
      </w:pPr>
      <w:r>
        <w:rPr>
          <w:rFonts w:ascii="Calibri" w:cs="Calibri" w:eastAsia="Calibri" w:hAnsi="Calibri"/>
          <w:color w:val="1F2937"/>
          <w:sz w:val="22"/>
          <w:szCs w:val="22"/>
        </w:rPr>
        <w:t xml:space="preserve">The three new functions specified in Section 3 (filter_candidates_by_tickers, run_industry_pipeline, summarize_window_trial).</w:t>
      </w:r>
    </w:p>
    <w:p>
      <w:pPr>
        <w:pStyle w:val="ListParagraph"/>
        <w:numPr>
          <w:ilvl w:val="0"/>
          <w:numId w:val="2"/>
        </w:numPr>
        <w:spacing w:after="80" w:before="0"/>
      </w:pPr>
      <w:r>
        <w:rPr>
          <w:rFonts w:ascii="Calibri" w:cs="Calibri" w:eastAsia="Calibri" w:hAnsi="Calibri"/>
          <w:color w:val="1F2937"/>
          <w:sz w:val="22"/>
          <w:szCs w:val="22"/>
        </w:rPr>
        <w:t xml:space="preserve">The window-experiment results table, populated from your own trial runs.</w:t>
      </w:r>
    </w:p>
    <w:p>
      <w:pPr>
        <w:pStyle w:val="ListParagraph"/>
        <w:numPr>
          <w:ilvl w:val="0"/>
          <w:numId w:val="2"/>
        </w:numPr>
        <w:spacing w:after="80" w:before="0"/>
      </w:pPr>
      <w:r>
        <w:rPr>
          <w:rFonts w:ascii="Calibri" w:cs="Calibri" w:eastAsia="Calibri" w:hAnsi="Calibri"/>
          <w:color w:val="1F2937"/>
          <w:sz w:val="22"/>
          <w:szCs w:val="22"/>
        </w:rPr>
        <w:t xml:space="preserve">Industry-specific extensions to the seeded ticker lists and search-phrase lists, with rationale recorded in the methodology section.</w:t>
      </w:r>
    </w:p>
    <w:p>
      <w:pPr>
        <w:pStyle w:val="ListParagraph"/>
        <w:numPr>
          <w:ilvl w:val="0"/>
          <w:numId w:val="2"/>
        </w:numPr>
        <w:spacing w:after="80" w:before="0"/>
      </w:pPr>
      <w:r>
        <w:rPr>
          <w:rFonts w:ascii="Calibri" w:cs="Calibri" w:eastAsia="Calibri" w:hAnsi="Calibri"/>
          <w:color w:val="1F2937"/>
          <w:sz w:val="22"/>
          <w:szCs w:val="22"/>
        </w:rPr>
        <w:t xml:space="preserve">The integrated folium map, with visual encoding that distinguishes industries and event types simultaneously and unambiguously.</w:t>
      </w:r>
    </w:p>
    <w:p>
      <w:pPr>
        <w:pStyle w:val="ListParagraph"/>
        <w:numPr>
          <w:ilvl w:val="0"/>
          <w:numId w:val="2"/>
        </w:numPr>
        <w:spacing w:after="80" w:before="0"/>
      </w:pPr>
      <w:r>
        <w:rPr>
          <w:rFonts w:ascii="Calibri" w:cs="Calibri" w:eastAsia="Calibri" w:hAnsi="Calibri"/>
          <w:color w:val="1F2937"/>
          <w:sz w:val="22"/>
          <w:szCs w:val="22"/>
        </w:rPr>
        <w:t xml:space="preserve">A methodology section (in the notebook and as a standalone Markdown file) covering: ticker-list rationale, search-phrase rationale, window-experiment results, observed Stage 3 classification quality per industry, and any limitations the team identified.</w:t>
      </w:r>
    </w:p>
    <w:p>
      <w:pPr>
        <w:pStyle w:val="ListParagraph"/>
        <w:numPr>
          <w:ilvl w:val="0"/>
          <w:numId w:val="2"/>
        </w:numPr>
        <w:spacing w:after="80" w:before="0"/>
      </w:pPr>
      <w:r>
        <w:rPr>
          <w:rFonts w:ascii="Calibri" w:cs="Calibri" w:eastAsia="Calibri" w:hAnsi="Calibri"/>
          <w:color w:val="1F2937"/>
          <w:sz w:val="22"/>
          <w:szCs w:val="22"/>
        </w:rPr>
        <w:t xml:space="preserve">A comparative reflection of approximately 300 to 400 words addressing what the geographic patterns reveal about how the two industries deploy and consolidate physical capacity, and what the differences imply about each industry’s underlying economics.</w:t>
      </w:r>
    </w:p>
    <w:p>
      <w:pPr>
        <w:pBdr>
          <w:bottom w:val="single" w:color="2563A8" w:sz="8" w:space="1"/>
        </w:pBdr>
        <w:spacing w:after="140" w:before="320"/>
      </w:pPr>
      <w:r>
        <w:rPr>
          <w:rFonts w:ascii="Calibri" w:cs="Calibri" w:eastAsia="Calibri" w:hAnsi="Calibri"/>
          <w:b/>
          <w:bCs/>
          <w:color w:val="1A2744"/>
          <w:sz w:val="28"/>
          <w:szCs w:val="28"/>
        </w:rPr>
        <w:t xml:space="preserve">6.  Git Workflow</w:t>
      </w:r>
    </w:p>
    <w:p>
      <w:pPr>
        <w:spacing w:after="140" w:before="0"/>
        <w:jc w:val="left"/>
      </w:pPr>
      <w:r>
        <w:rPr>
          <w:rFonts w:ascii="Calibri" w:cs="Calibri" w:eastAsia="Calibri" w:hAnsi="Calibri"/>
          <w:color w:val="1F2937"/>
          <w:sz w:val="22"/>
          <w:szCs w:val="22"/>
        </w:rPr>
        <w:t xml:space="preserve">MP03 uses a team-branch workflow. The Comparison and Visualization Lead serves as integrator: they own the team branch, review and merge contributions from the two pipeline leads, resolve conflicts, and tag the final submission. Each pipeline lead works on their own feature branch off the team branch and opens pull requests against the team branch (not directly against main).</w:t>
      </w:r>
    </w:p>
    <w:p>
      <w:pPr>
        <w:spacing w:after="100" w:before="220"/>
      </w:pPr>
      <w:r>
        <w:rPr>
          <w:rFonts w:ascii="Calibri" w:cs="Calibri" w:eastAsia="Calibri" w:hAnsi="Calibri"/>
          <w:b/>
          <w:bCs/>
          <w:color w:val="2563A8"/>
          <w:sz w:val="24"/>
          <w:szCs w:val="24"/>
        </w:rPr>
        <w:t xml:space="preserve">Step 1 — Fork and clone (integrator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A8" w:sz="24" w:space="6"/>
              <w:bottom w:val="none" w:color="FFFFFF" w:sz="0"/>
              <w:right w:val="none" w:color="FFFFFF" w:sz="0"/>
            </w:tcBorders>
            <w:shd w:fill="F3F4F6" w:color="auto" w:val="clear"/>
            <w:tcMar>
              <w:top w:type="dxa" w:w="160"/>
              <w:left w:type="dxa" w:w="200"/>
              <w:bottom w:type="dxa" w:w="160"/>
              <w:right w:type="dxa" w:w="160"/>
            </w:tcMar>
          </w:tcPr>
          <w:p>
            <w:pPr>
              <w:spacing w:after="0" w:before="0" w:line="260"/>
            </w:pPr>
            <w:r>
              <w:rPr>
                <w:rFonts w:ascii="Consolas" w:cs="Consolas" w:eastAsia="Consolas" w:hAnsi="Consolas"/>
                <w:color w:val="1A2744"/>
                <w:sz w:val="20"/>
                <w:szCs w:val="20"/>
              </w:rPr>
              <w:t xml:space="preserve"># On GitHub, the integrator forks the course repository:</w:t>
            </w:r>
          </w:p>
          <w:p>
            <w:pPr>
              <w:spacing w:after="0" w:before="0" w:line="260"/>
            </w:pPr>
            <w:r>
              <w:rPr>
                <w:rFonts w:ascii="Consolas" w:cs="Consolas" w:eastAsia="Consolas" w:hAnsi="Consolas"/>
                <w:color w:val="1A2744"/>
                <w:sz w:val="20"/>
                <w:szCs w:val="20"/>
              </w:rPr>
              <w:t xml:space="preserve">#   https://github.com/ProfessorPatrickSlatraigh/cis3120-spring2026</w:t>
            </w:r>
          </w:p>
          <w:p>
            <w:pPr>
              <w:spacing w:after="0" w:before="0" w:line="260"/>
            </w:pPr>
            <w:r>
              <w:rPr>
                <w:rFonts w:ascii="Consolas" w:cs="Consolas" w:eastAsia="Consolas" w:hAnsi="Consolas"/>
                <w:color w:val="1A2744"/>
                <w:sz w:val="20"/>
                <w:szCs w:val="20"/>
              </w:rPr>
              <w:t xml:space="preserve"> </w:t>
            </w:r>
          </w:p>
          <w:p>
            <w:pPr>
              <w:spacing w:after="0" w:before="0" w:line="260"/>
            </w:pPr>
            <w:r>
              <w:rPr>
                <w:rFonts w:ascii="Consolas" w:cs="Consolas" w:eastAsia="Consolas" w:hAnsi="Consolas"/>
                <w:color w:val="1A2744"/>
                <w:sz w:val="20"/>
                <w:szCs w:val="20"/>
              </w:rPr>
              <w:t xml:space="preserve"># Then locally:</w:t>
            </w:r>
          </w:p>
          <w:p>
            <w:pPr>
              <w:spacing w:after="0" w:before="0" w:line="260"/>
            </w:pPr>
            <w:r>
              <w:rPr>
                <w:rFonts w:ascii="Consolas" w:cs="Consolas" w:eastAsia="Consolas" w:hAnsi="Consolas"/>
                <w:color w:val="1A2744"/>
                <w:sz w:val="20"/>
                <w:szCs w:val="20"/>
              </w:rPr>
              <w:t xml:space="preserve">git clone https://github.com/&lt;integrator-username&gt;/cis3120-spring2026.git</w:t>
            </w:r>
          </w:p>
          <w:p>
            <w:pPr>
              <w:spacing w:after="0" w:before="0" w:line="260"/>
            </w:pPr>
            <w:r>
              <w:rPr>
                <w:rFonts w:ascii="Consolas" w:cs="Consolas" w:eastAsia="Consolas" w:hAnsi="Consolas"/>
                <w:color w:val="1A2744"/>
                <w:sz w:val="20"/>
                <w:szCs w:val="20"/>
              </w:rPr>
              <w:t xml:space="preserve">cd cis3120-spring2026</w:t>
            </w:r>
          </w:p>
          <w:p>
            <w:pPr>
              <w:spacing w:after="0" w:before="0" w:line="260"/>
            </w:pPr>
            <w:r>
              <w:rPr>
                <w:rFonts w:ascii="Consolas" w:cs="Consolas" w:eastAsia="Consolas" w:hAnsi="Consolas"/>
                <w:color w:val="1A2744"/>
                <w:sz w:val="20"/>
                <w:szCs w:val="20"/>
              </w:rPr>
              <w:t xml:space="preserve">git remote add upstream https://github.com/ProfessorPatrickSlatraigh/cis3120-spring2026.git</w:t>
            </w:r>
          </w:p>
          <w:p>
            <w:pPr>
              <w:spacing w:after="0" w:before="0" w:line="260"/>
            </w:pPr>
            <w:r>
              <w:rPr>
                <w:rFonts w:ascii="Consolas" w:cs="Consolas" w:eastAsia="Consolas" w:hAnsi="Consolas"/>
                <w:color w:val="1A2744"/>
                <w:sz w:val="20"/>
                <w:szCs w:val="20"/>
              </w:rPr>
              <w:t xml:space="preserve">git fetch upstream</w:t>
            </w:r>
          </w:p>
          <w:p>
            <w:pPr>
              <w:spacing w:after="0" w:before="0" w:line="260"/>
            </w:pPr>
            <w:r>
              <w:rPr>
                <w:rFonts w:ascii="Consolas" w:cs="Consolas" w:eastAsia="Consolas" w:hAnsi="Consolas"/>
                <w:color w:val="1A2744"/>
                <w:sz w:val="20"/>
                <w:szCs w:val="20"/>
              </w:rPr>
              <w:t xml:space="preserve">git checkout main</w:t>
            </w:r>
          </w:p>
          <w:p>
            <w:pPr>
              <w:spacing w:after="0" w:before="0" w:line="260"/>
            </w:pPr>
            <w:r>
              <w:rPr>
                <w:rFonts w:ascii="Consolas" w:cs="Consolas" w:eastAsia="Consolas" w:hAnsi="Consolas"/>
                <w:color w:val="1A2744"/>
                <w:sz w:val="20"/>
                <w:szCs w:val="20"/>
              </w:rPr>
              <w:t xml:space="preserve">git merge upstream/main</w:t>
            </w:r>
          </w:p>
        </w:tc>
      </w:tr>
    </w:tbl>
    <w:p>
      <w:pPr>
        <w:spacing w:after="100" w:before="220"/>
      </w:pPr>
      <w:r>
        <w:rPr>
          <w:rFonts w:ascii="Calibri" w:cs="Calibri" w:eastAsia="Calibri" w:hAnsi="Calibri"/>
          <w:b/>
          <w:bCs/>
          <w:color w:val="2563A8"/>
          <w:sz w:val="24"/>
          <w:szCs w:val="24"/>
        </w:rPr>
        <w:t xml:space="preserve">Step 2 — Create the team branch (integrator)</w:t>
      </w:r>
    </w:p>
    <w:p>
      <w:pPr>
        <w:spacing w:after="140" w:before="0"/>
      </w:pPr>
      <w:r>
        <w:rPr>
          <w:rFonts w:ascii="Calibri" w:cs="Calibri" w:eastAsia="Calibri" w:hAnsi="Calibri"/>
          <w:color w:val="1F2937"/>
          <w:sz w:val="22"/>
          <w:szCs w:val="22"/>
        </w:rPr>
        <w:t xml:space="preserve">Team branch name must be exactly </w:t>
      </w:r>
      <w:r>
        <w:rPr>
          <w:rFonts w:ascii="Consolas" w:cs="Consolas" w:eastAsia="Consolas" w:hAnsi="Consolas"/>
          <w:color w:val="1A2744"/>
          <w:sz w:val="20"/>
          <w:szCs w:val="20"/>
        </w:rPr>
        <w:t xml:space="preserve">mp/03-industry-comparison-team-&lt;NN&gt;</w:t>
      </w:r>
      <w:r>
        <w:rPr>
          <w:rFonts w:ascii="Calibri" w:cs="Calibri" w:eastAsia="Calibri" w:hAnsi="Calibri"/>
          <w:color w:val="1F2937"/>
          <w:sz w:val="22"/>
          <w:szCs w:val="22"/>
        </w:rPr>
        <w:t xml:space="preserve"> where </w:t>
      </w:r>
      <w:r>
        <w:rPr>
          <w:rFonts w:ascii="Consolas" w:cs="Consolas" w:eastAsia="Consolas" w:hAnsi="Consolas"/>
          <w:color w:val="1A2744"/>
          <w:sz w:val="20"/>
          <w:szCs w:val="20"/>
        </w:rPr>
        <w:t xml:space="preserve">&lt;NN&gt;</w:t>
      </w:r>
      <w:r>
        <w:rPr>
          <w:rFonts w:ascii="Calibri" w:cs="Calibri" w:eastAsia="Calibri" w:hAnsi="Calibri"/>
          <w:color w:val="1F2937"/>
          <w:sz w:val="22"/>
          <w:szCs w:val="22"/>
        </w:rPr>
        <w:t xml:space="preserve"> is your two-digit team number assigned in Brightspace.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A8" w:sz="24" w:space="6"/>
              <w:bottom w:val="none" w:color="FFFFFF" w:sz="0"/>
              <w:right w:val="none" w:color="FFFFFF" w:sz="0"/>
            </w:tcBorders>
            <w:shd w:fill="F3F4F6" w:color="auto" w:val="clear"/>
            <w:tcMar>
              <w:top w:type="dxa" w:w="160"/>
              <w:left w:type="dxa" w:w="200"/>
              <w:bottom w:type="dxa" w:w="160"/>
              <w:right w:type="dxa" w:w="160"/>
            </w:tcMar>
          </w:tcPr>
          <w:p>
            <w:pPr>
              <w:spacing w:after="0" w:before="0" w:line="260"/>
            </w:pPr>
            <w:r>
              <w:rPr>
                <w:rFonts w:ascii="Consolas" w:cs="Consolas" w:eastAsia="Consolas" w:hAnsi="Consolas"/>
                <w:color w:val="1A2744"/>
                <w:sz w:val="20"/>
                <w:szCs w:val="20"/>
              </w:rPr>
              <w:t xml:space="preserve">git checkout -b mp/03-industry-comparison-team-&lt;NN&gt;</w:t>
            </w:r>
          </w:p>
          <w:p>
            <w:pPr>
              <w:spacing w:after="0" w:before="0" w:line="260"/>
            </w:pPr>
            <w:r>
              <w:rPr>
                <w:rFonts w:ascii="Consolas" w:cs="Consolas" w:eastAsia="Consolas" w:hAnsi="Consolas"/>
                <w:color w:val="1A2744"/>
                <w:sz w:val="20"/>
                <w:szCs w:val="20"/>
              </w:rPr>
              <w:t xml:space="preserve">git push -u origin mp/03-industry-comparison-team-&lt;NN&gt;</w:t>
            </w:r>
          </w:p>
          <w:p>
            <w:pPr>
              <w:spacing w:after="0" w:before="0" w:line="260"/>
            </w:pPr>
            <w:r>
              <w:rPr>
                <w:rFonts w:ascii="Consolas" w:cs="Consolas" w:eastAsia="Consolas" w:hAnsi="Consolas"/>
                <w:color w:val="1A2744"/>
                <w:sz w:val="20"/>
                <w:szCs w:val="20"/>
              </w:rPr>
              <w:t xml:space="preserve"> </w:t>
            </w:r>
          </w:p>
          <w:p>
            <w:pPr>
              <w:spacing w:after="0" w:before="0" w:line="260"/>
            </w:pPr>
            <w:r>
              <w:rPr>
                <w:rFonts w:ascii="Consolas" w:cs="Consolas" w:eastAsia="Consolas" w:hAnsi="Consolas"/>
                <w:color w:val="1A2744"/>
                <w:sz w:val="20"/>
                <w:szCs w:val="20"/>
              </w:rPr>
              <w:t xml:space="preserve"># Add the two pipeline leads as collaborators on the integrator’s fork</w:t>
            </w:r>
          </w:p>
          <w:p>
            <w:pPr>
              <w:spacing w:after="0" w:before="0" w:line="260"/>
            </w:pPr>
            <w:r>
              <w:rPr>
                <w:rFonts w:ascii="Consolas" w:cs="Consolas" w:eastAsia="Consolas" w:hAnsi="Consolas"/>
                <w:color w:val="1A2744"/>
                <w:sz w:val="20"/>
                <w:szCs w:val="20"/>
              </w:rPr>
              <w:t xml:space="preserve"># (Settings -&gt; Collaborators on GitHub).</w:t>
            </w:r>
          </w:p>
        </w:tc>
      </w:tr>
    </w:tbl>
    <w:p>
      <w:pPr>
        <w:spacing w:after="100" w:before="220"/>
      </w:pPr>
      <w:r>
        <w:rPr>
          <w:rFonts w:ascii="Calibri" w:cs="Calibri" w:eastAsia="Calibri" w:hAnsi="Calibri"/>
          <w:b/>
          <w:bCs/>
          <w:color w:val="2563A8"/>
          <w:sz w:val="24"/>
          <w:szCs w:val="24"/>
        </w:rPr>
        <w:t xml:space="preserve">Step 3 — Pipeline leads work on feature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A8" w:sz="24" w:space="6"/>
              <w:bottom w:val="none" w:color="FFFFFF" w:sz="0"/>
              <w:right w:val="none" w:color="FFFFFF" w:sz="0"/>
            </w:tcBorders>
            <w:shd w:fill="F3F4F6" w:color="auto" w:val="clear"/>
            <w:tcMar>
              <w:top w:type="dxa" w:w="160"/>
              <w:left w:type="dxa" w:w="200"/>
              <w:bottom w:type="dxa" w:w="160"/>
              <w:right w:type="dxa" w:w="160"/>
            </w:tcMar>
          </w:tcPr>
          <w:p>
            <w:pPr>
              <w:spacing w:after="0" w:before="0" w:line="260"/>
            </w:pPr>
            <w:r>
              <w:rPr>
                <w:rFonts w:ascii="Consolas" w:cs="Consolas" w:eastAsia="Consolas" w:hAnsi="Consolas"/>
                <w:color w:val="1A2744"/>
                <w:sz w:val="20"/>
                <w:szCs w:val="20"/>
              </w:rPr>
              <w:t xml:space="preserve"># Each pipeline lead clones the integrator’s fork and creates their own</w:t>
            </w:r>
          </w:p>
          <w:p>
            <w:pPr>
              <w:spacing w:after="0" w:before="0" w:line="260"/>
            </w:pPr>
            <w:r>
              <w:rPr>
                <w:rFonts w:ascii="Consolas" w:cs="Consolas" w:eastAsia="Consolas" w:hAnsi="Consolas"/>
                <w:color w:val="1A2744"/>
                <w:sz w:val="20"/>
                <w:szCs w:val="20"/>
              </w:rPr>
              <w:t xml:space="preserve"># feature branch off the team branch:</w:t>
            </w:r>
          </w:p>
          <w:p>
            <w:pPr>
              <w:spacing w:after="0" w:before="0" w:line="260"/>
            </w:pPr>
            <w:r>
              <w:rPr>
                <w:rFonts w:ascii="Consolas" w:cs="Consolas" w:eastAsia="Consolas" w:hAnsi="Consolas"/>
                <w:color w:val="1A2744"/>
                <w:sz w:val="20"/>
                <w:szCs w:val="20"/>
              </w:rPr>
              <w:t xml:space="preserve">git clone https://github.com/&lt;integrator-username&gt;/cis3120-spring2026.git</w:t>
            </w:r>
          </w:p>
          <w:p>
            <w:pPr>
              <w:spacing w:after="0" w:before="0" w:line="260"/>
            </w:pPr>
            <w:r>
              <w:rPr>
                <w:rFonts w:ascii="Consolas" w:cs="Consolas" w:eastAsia="Consolas" w:hAnsi="Consolas"/>
                <w:color w:val="1A2744"/>
                <w:sz w:val="20"/>
                <w:szCs w:val="20"/>
              </w:rPr>
              <w:t xml:space="preserve">cd cis3120-spring2026</w:t>
            </w:r>
          </w:p>
          <w:p>
            <w:pPr>
              <w:spacing w:after="0" w:before="0" w:line="260"/>
            </w:pPr>
            <w:r>
              <w:rPr>
                <w:rFonts w:ascii="Consolas" w:cs="Consolas" w:eastAsia="Consolas" w:hAnsi="Consolas"/>
                <w:color w:val="1A2744"/>
                <w:sz w:val="20"/>
                <w:szCs w:val="20"/>
              </w:rPr>
              <w:t xml:space="preserve">git fetch origin</w:t>
            </w:r>
          </w:p>
          <w:p>
            <w:pPr>
              <w:spacing w:after="0" w:before="0" w:line="260"/>
            </w:pPr>
            <w:r>
              <w:rPr>
                <w:rFonts w:ascii="Consolas" w:cs="Consolas" w:eastAsia="Consolas" w:hAnsi="Consolas"/>
                <w:color w:val="1A2744"/>
                <w:sz w:val="20"/>
                <w:szCs w:val="20"/>
              </w:rPr>
              <w:t xml:space="preserve">git checkout mp/03-industry-comparison-team-&lt;NN&gt;</w:t>
            </w:r>
          </w:p>
          <w:p>
            <w:pPr>
              <w:spacing w:after="0" w:before="0" w:line="260"/>
            </w:pPr>
            <w:r>
              <w:rPr>
                <w:rFonts w:ascii="Consolas" w:cs="Consolas" w:eastAsia="Consolas" w:hAnsi="Consolas"/>
                <w:color w:val="1A2744"/>
                <w:sz w:val="20"/>
                <w:szCs w:val="20"/>
              </w:rPr>
              <w:t xml:space="preserve">git checkout -b mp/03-financial-services-team-&lt;NN&gt;</w:t>
            </w:r>
          </w:p>
          <w:p>
            <w:pPr>
              <w:spacing w:after="0" w:before="0" w:line="260"/>
            </w:pPr>
            <w:r>
              <w:rPr>
                <w:rFonts w:ascii="Consolas" w:cs="Consolas" w:eastAsia="Consolas" w:hAnsi="Consolas"/>
                <w:color w:val="1A2744"/>
                <w:sz w:val="20"/>
                <w:szCs w:val="20"/>
              </w:rPr>
              <w:t xml:space="preserve"># (or mp/03-travel-hospitality-team-&lt;NN&gt;)</w:t>
            </w:r>
          </w:p>
        </w:tc>
      </w:tr>
    </w:tbl>
    <w:p>
      <w:pPr>
        <w:spacing w:after="100" w:before="220"/>
      </w:pPr>
      <w:r>
        <w:rPr>
          <w:rFonts w:ascii="Calibri" w:cs="Calibri" w:eastAsia="Calibri" w:hAnsi="Calibri"/>
          <w:b/>
          <w:bCs/>
          <w:color w:val="2563A8"/>
          <w:sz w:val="24"/>
          <w:szCs w:val="24"/>
        </w:rPr>
        <w:t xml:space="preserve">Step 4 — Commit format</w:t>
      </w:r>
    </w:p>
    <w:p>
      <w:pPr>
        <w:spacing w:after="140" w:before="0"/>
      </w:pPr>
      <w:r>
        <w:rPr>
          <w:rFonts w:ascii="Calibri" w:cs="Calibri" w:eastAsia="Calibri" w:hAnsi="Calibri"/>
          <w:color w:val="1F2937"/>
          <w:sz w:val="22"/>
          <w:szCs w:val="22"/>
        </w:rPr>
        <w:t xml:space="preserve">Every commit follows the </w:t>
      </w:r>
      <w:r>
        <w:rPr>
          <w:rFonts w:ascii="Consolas" w:cs="Consolas" w:eastAsia="Consolas" w:hAnsi="Consolas"/>
          <w:color w:val="1A2744"/>
          <w:sz w:val="20"/>
          <w:szCs w:val="20"/>
        </w:rPr>
        <w:t xml:space="preserve">feat(scope): description</w:t>
      </w:r>
      <w:r>
        <w:rPr>
          <w:rFonts w:ascii="Calibri" w:cs="Calibri" w:eastAsia="Calibri" w:hAnsi="Calibri"/>
          <w:color w:val="1F2937"/>
          <w:sz w:val="22"/>
          <w:szCs w:val="22"/>
        </w:rPr>
        <w:t xml:space="preserve"> format. Scopes for MP03 extend the Module 15 set with project-specific scopes. Use the most specific applicable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4"/>
              <w:left w:val="single" w:color="D1D5DB" w:sz="4"/>
              <w:bottom w:val="single" w:color="D1D5DB" w:sz="4"/>
              <w:right w:val="single" w:color="D1D5DB" w:sz="4"/>
            </w:tcBorders>
            <w:shd w:fill="E5EEF7" w:color="auto" w:val="clear"/>
            <w:tcMar>
              <w:top w:type="dxa" w:w="80"/>
              <w:left w:type="dxa" w:w="120"/>
              <w:bottom w:type="dxa" w:w="80"/>
              <w:right w:type="dxa" w:w="120"/>
            </w:tcMar>
          </w:tcPr>
          <w:p>
            <w:pPr>
              <w:spacing w:after="0" w:before="0"/>
            </w:pPr>
            <w:r>
              <w:rPr>
                <w:rFonts w:ascii="Calibri" w:cs="Calibri" w:eastAsia="Calibri" w:hAnsi="Calibri"/>
                <w:b/>
                <w:bCs/>
                <w:color w:val="1A2744"/>
                <w:sz w:val="22"/>
                <w:szCs w:val="22"/>
              </w:rPr>
              <w:t xml:space="preserve">Scope</w:t>
            </w:r>
          </w:p>
        </w:tc>
        <w:tc>
          <w:tcPr>
            <w:tcW w:type="dxa" w:w="7160"/>
            <w:tcBorders>
              <w:top w:val="single" w:color="D1D5DB" w:sz="4"/>
              <w:left w:val="single" w:color="D1D5DB" w:sz="4"/>
              <w:bottom w:val="single" w:color="D1D5DB" w:sz="4"/>
              <w:right w:val="single" w:color="D1D5DB" w:sz="4"/>
            </w:tcBorders>
            <w:shd w:fill="E5EEF7" w:color="auto" w:val="clear"/>
            <w:tcMar>
              <w:top w:type="dxa" w:w="80"/>
              <w:left w:type="dxa" w:w="120"/>
              <w:bottom w:type="dxa" w:w="80"/>
              <w:right w:type="dxa" w:w="120"/>
            </w:tcMar>
          </w:tcPr>
          <w:p>
            <w:pPr>
              <w:spacing w:after="0" w:before="0"/>
            </w:pPr>
            <w:r>
              <w:rPr>
                <w:rFonts w:ascii="Calibri" w:cs="Calibri" w:eastAsia="Calibri" w:hAnsi="Calibri"/>
                <w:b/>
                <w:bCs/>
                <w:color w:val="1A2744"/>
                <w:sz w:val="22"/>
                <w:szCs w:val="22"/>
              </w:rPr>
              <w:t xml:space="preserve">Use for</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stage1, stage2, stage3, stage4, viz</w:t>
            </w:r>
          </w:p>
        </w:tc>
        <w:tc>
          <w:tcPr>
            <w:tcW w:type="dxa" w:w="71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Modifications to the canonical pipeline stages</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tickers</w:t>
            </w:r>
          </w:p>
        </w:tc>
        <w:tc>
          <w:tcPr>
            <w:tcW w:type="dxa" w:w="71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Changes to the industry ticker lists</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phrases</w:t>
            </w:r>
          </w:p>
        </w:tc>
        <w:tc>
          <w:tcPr>
            <w:tcW w:type="dxa" w:w="71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Changes to the SEARCH_PHRASES extensions</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window</w:t>
            </w:r>
          </w:p>
        </w:tc>
        <w:tc>
          <w:tcPr>
            <w:tcW w:type="dxa" w:w="71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Window-tuning experiment work, including the results table</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methodology</w:t>
            </w:r>
          </w:p>
        </w:tc>
        <w:tc>
          <w:tcPr>
            <w:tcW w:type="dxa" w:w="71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Methodology section content</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reflection</w:t>
            </w:r>
          </w:p>
        </w:tc>
        <w:tc>
          <w:tcPr>
            <w:tcW w:type="dxa" w:w="71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Comparative reflection content</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integration</w:t>
            </w:r>
          </w:p>
        </w:tc>
        <w:tc>
          <w:tcPr>
            <w:tcW w:type="dxa" w:w="71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Integrator-specific work: merges, conflict resolution, integrated test fixes</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docs</w:t>
            </w:r>
          </w:p>
        </w:tc>
        <w:tc>
          <w:tcPr>
            <w:tcW w:type="dxa" w:w="71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README updates, submission file naming, anything in /reflections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A8" w:sz="24" w:space="6"/>
              <w:bottom w:val="none" w:color="FFFFFF" w:sz="0"/>
              <w:right w:val="none" w:color="FFFFFF" w:sz="0"/>
            </w:tcBorders>
            <w:shd w:fill="F3F4F6" w:color="auto" w:val="clear"/>
            <w:tcMar>
              <w:top w:type="dxa" w:w="160"/>
              <w:left w:type="dxa" w:w="200"/>
              <w:bottom w:type="dxa" w:w="160"/>
              <w:right w:type="dxa" w:w="160"/>
            </w:tcMar>
          </w:tcPr>
          <w:p>
            <w:pPr>
              <w:spacing w:after="0" w:before="0" w:line="260"/>
            </w:pPr>
            <w:r>
              <w:rPr>
                <w:rFonts w:ascii="Consolas" w:cs="Consolas" w:eastAsia="Consolas" w:hAnsi="Consolas"/>
                <w:color w:val="1A2744"/>
                <w:sz w:val="20"/>
                <w:szCs w:val="20"/>
              </w:rPr>
              <w:t xml:space="preserve"># Examples</w:t>
            </w:r>
          </w:p>
          <w:p>
            <w:pPr>
              <w:spacing w:after="0" w:before="0" w:line="260"/>
            </w:pPr>
            <w:r>
              <w:rPr>
                <w:rFonts w:ascii="Consolas" w:cs="Consolas" w:eastAsia="Consolas" w:hAnsi="Consolas"/>
                <w:color w:val="1A2744"/>
                <w:sz w:val="20"/>
                <w:szCs w:val="20"/>
              </w:rPr>
              <w:t xml:space="preserve">git commit -m "feat(tickers): add capital-markets sub-segment to FS list"</w:t>
            </w:r>
          </w:p>
          <w:p>
            <w:pPr>
              <w:spacing w:after="0" w:before="0" w:line="260"/>
            </w:pPr>
            <w:r>
              <w:rPr>
                <w:rFonts w:ascii="Consolas" w:cs="Consolas" w:eastAsia="Consolas" w:hAnsi="Consolas"/>
                <w:color w:val="1A2744"/>
                <w:sz w:val="20"/>
                <w:szCs w:val="20"/>
              </w:rPr>
              <w:t xml:space="preserve">git commit -m "feat(phrases): extend hotel phrases with brand-conversion variants"</w:t>
            </w:r>
          </w:p>
          <w:p>
            <w:pPr>
              <w:spacing w:after="0" w:before="0" w:line="260"/>
            </w:pPr>
            <w:r>
              <w:rPr>
                <w:rFonts w:ascii="Consolas" w:cs="Consolas" w:eastAsia="Consolas" w:hAnsi="Consolas"/>
                <w:color w:val="1A2744"/>
                <w:sz w:val="20"/>
                <w:szCs w:val="20"/>
              </w:rPr>
              <w:t xml:space="preserve">git commit -m "feat(window): record 90-day trial for Financial Services"</w:t>
            </w:r>
          </w:p>
          <w:p>
            <w:pPr>
              <w:spacing w:after="0" w:before="0" w:line="260"/>
            </w:pPr>
            <w:r>
              <w:rPr>
                <w:rFonts w:ascii="Consolas" w:cs="Consolas" w:eastAsia="Consolas" w:hAnsi="Consolas"/>
                <w:color w:val="1A2744"/>
                <w:sz w:val="20"/>
                <w:szCs w:val="20"/>
              </w:rPr>
              <w:t xml:space="preserve">git commit -m "feat(integration): resolve conflict in run_industry_pipeline"</w:t>
            </w:r>
          </w:p>
          <w:p>
            <w:pPr>
              <w:spacing w:after="0" w:before="0" w:line="260"/>
            </w:pPr>
            <w:r>
              <w:rPr>
                <w:rFonts w:ascii="Consolas" w:cs="Consolas" w:eastAsia="Consolas" w:hAnsi="Consolas"/>
                <w:color w:val="1A2744"/>
                <w:sz w:val="20"/>
                <w:szCs w:val="20"/>
              </w:rPr>
              <w:t xml:space="preserve">git commit -m "feat(reflection): draft comparative analysis (350 words)"</w:t>
            </w:r>
          </w:p>
        </w:tc>
      </w:tr>
    </w:tbl>
    <w:p>
      <w:pPr>
        <w:spacing w:after="100" w:before="220"/>
      </w:pPr>
      <w:r>
        <w:rPr>
          <w:rFonts w:ascii="Calibri" w:cs="Calibri" w:eastAsia="Calibri" w:hAnsi="Calibri"/>
          <w:b/>
          <w:bCs/>
          <w:color w:val="2563A8"/>
          <w:sz w:val="24"/>
          <w:szCs w:val="24"/>
        </w:rPr>
        <w:t xml:space="preserve">Step 5 — Pull request and merge (pipeline leads to integrator)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A8" w:sz="24" w:space="6"/>
              <w:bottom w:val="none" w:color="FFFFFF" w:sz="0"/>
              <w:right w:val="none" w:color="FFFFFF" w:sz="0"/>
            </w:tcBorders>
            <w:shd w:fill="F3F4F6" w:color="auto" w:val="clear"/>
            <w:tcMar>
              <w:top w:type="dxa" w:w="160"/>
              <w:left w:type="dxa" w:w="200"/>
              <w:bottom w:type="dxa" w:w="160"/>
              <w:right w:type="dxa" w:w="160"/>
            </w:tcMar>
          </w:tcPr>
          <w:p>
            <w:pPr>
              <w:spacing w:after="0" w:before="0" w:line="260"/>
            </w:pPr>
            <w:r>
              <w:rPr>
                <w:rFonts w:ascii="Consolas" w:cs="Consolas" w:eastAsia="Consolas" w:hAnsi="Consolas"/>
                <w:color w:val="1A2744"/>
                <w:sz w:val="20"/>
                <w:szCs w:val="20"/>
              </w:rPr>
              <w:t xml:space="preserve"># Pipeline lead pushes their feature branch and opens a PR:</w:t>
            </w:r>
          </w:p>
          <w:p>
            <w:pPr>
              <w:spacing w:after="0" w:before="0" w:line="260"/>
            </w:pPr>
            <w:r>
              <w:rPr>
                <w:rFonts w:ascii="Consolas" w:cs="Consolas" w:eastAsia="Consolas" w:hAnsi="Consolas"/>
                <w:color w:val="1A2744"/>
                <w:sz w:val="20"/>
                <w:szCs w:val="20"/>
              </w:rPr>
              <w:t xml:space="preserve">git push -u origin mp/03-financial-services-team-&lt;NN&gt;</w:t>
            </w:r>
          </w:p>
          <w:p>
            <w:pPr>
              <w:spacing w:after="0" w:before="0" w:line="260"/>
            </w:pPr>
            <w:r>
              <w:rPr>
                <w:rFonts w:ascii="Consolas" w:cs="Consolas" w:eastAsia="Consolas" w:hAnsi="Consolas"/>
                <w:color w:val="1A2744"/>
                <w:sz w:val="20"/>
                <w:szCs w:val="20"/>
              </w:rPr>
              <w:t xml:space="preserve"> </w:t>
            </w:r>
          </w:p>
          <w:p>
            <w:pPr>
              <w:spacing w:after="0" w:before="0" w:line="260"/>
            </w:pPr>
            <w:r>
              <w:rPr>
                <w:rFonts w:ascii="Consolas" w:cs="Consolas" w:eastAsia="Consolas" w:hAnsi="Consolas"/>
                <w:color w:val="1A2744"/>
                <w:sz w:val="20"/>
                <w:szCs w:val="20"/>
              </w:rPr>
              <w:t xml:space="preserve"># On GitHub, open a PR FROM mp/03-financial-services-team-&lt;NN&gt;</w:t>
            </w:r>
          </w:p>
          <w:p>
            <w:pPr>
              <w:spacing w:after="0" w:before="0" w:line="260"/>
            </w:pPr>
            <w:r>
              <w:rPr>
                <w:rFonts w:ascii="Consolas" w:cs="Consolas" w:eastAsia="Consolas" w:hAnsi="Consolas"/>
                <w:color w:val="1A2744"/>
                <w:sz w:val="20"/>
                <w:szCs w:val="20"/>
              </w:rPr>
              <w:t xml:space="preserve">#                    TO   mp/03-industry-comparison-team-&lt;NN&gt;</w:t>
            </w:r>
          </w:p>
          <w:p>
            <w:pPr>
              <w:spacing w:after="0" w:before="0" w:line="260"/>
            </w:pPr>
            <w:r>
              <w:rPr>
                <w:rFonts w:ascii="Consolas" w:cs="Consolas" w:eastAsia="Consolas" w:hAnsi="Consolas"/>
                <w:color w:val="1A2744"/>
                <w:sz w:val="20"/>
                <w:szCs w:val="20"/>
              </w:rPr>
              <w:t xml:space="preserve"># Title:  "feat(industry): Financial Services pipeline complete"</w:t>
            </w:r>
          </w:p>
          <w:p>
            <w:pPr>
              <w:spacing w:after="0" w:before="0" w:line="260"/>
            </w:pPr>
            <w:r>
              <w:rPr>
                <w:rFonts w:ascii="Consolas" w:cs="Consolas" w:eastAsia="Consolas" w:hAnsi="Consolas"/>
                <w:color w:val="1A2744"/>
                <w:sz w:val="20"/>
                <w:szCs w:val="20"/>
              </w:rPr>
              <w:t xml:space="preserve"># Reviewer: assign the integrator.</w:t>
            </w:r>
          </w:p>
          <w:p>
            <w:pPr>
              <w:spacing w:after="0" w:before="0" w:line="260"/>
            </w:pPr>
            <w:r>
              <w:rPr>
                <w:rFonts w:ascii="Consolas" w:cs="Consolas" w:eastAsia="Consolas" w:hAnsi="Consolas"/>
                <w:color w:val="1A2744"/>
                <w:sz w:val="20"/>
                <w:szCs w:val="20"/>
              </w:rPr>
              <w:t xml:space="preserve"> </w:t>
            </w:r>
          </w:p>
          <w:p>
            <w:pPr>
              <w:spacing w:after="0" w:before="0" w:line="260"/>
            </w:pPr>
            <w:r>
              <w:rPr>
                <w:rFonts w:ascii="Consolas" w:cs="Consolas" w:eastAsia="Consolas" w:hAnsi="Consolas"/>
                <w:color w:val="1A2744"/>
                <w:sz w:val="20"/>
                <w:szCs w:val="20"/>
              </w:rPr>
              <w:t xml:space="preserve"># Integrator reviews, runs the integrated notebook end-to-end, and merges.</w:t>
            </w:r>
          </w:p>
        </w:tc>
      </w:tr>
    </w:tbl>
    <w:p>
      <w:pPr>
        <w:spacing w:after="100" w:before="220"/>
      </w:pPr>
      <w:r>
        <w:rPr>
          <w:rFonts w:ascii="Calibri" w:cs="Calibri" w:eastAsia="Calibri" w:hAnsi="Calibri"/>
          <w:b/>
          <w:bCs/>
          <w:color w:val="2563A8"/>
          <w:sz w:val="24"/>
          <w:szCs w:val="24"/>
        </w:rPr>
        <w:t xml:space="preserve">Step 6 — Final submission PR and tag (integrator)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A8" w:sz="24" w:space="6"/>
              <w:bottom w:val="none" w:color="FFFFFF" w:sz="0"/>
              <w:right w:val="none" w:color="FFFFFF" w:sz="0"/>
            </w:tcBorders>
            <w:shd w:fill="F3F4F6" w:color="auto" w:val="clear"/>
            <w:tcMar>
              <w:top w:type="dxa" w:w="160"/>
              <w:left w:type="dxa" w:w="200"/>
              <w:bottom w:type="dxa" w:w="160"/>
              <w:right w:type="dxa" w:w="160"/>
            </w:tcMar>
          </w:tcPr>
          <w:p>
            <w:pPr>
              <w:spacing w:after="0" w:before="0" w:line="260"/>
            </w:pPr>
            <w:r>
              <w:rPr>
                <w:rFonts w:ascii="Consolas" w:cs="Consolas" w:eastAsia="Consolas" w:hAnsi="Consolas"/>
                <w:color w:val="1A2744"/>
                <w:sz w:val="20"/>
                <w:szCs w:val="20"/>
              </w:rPr>
              <w:t xml:space="preserve"># Integrator opens the team’s final PR from the team branch to main</w:t>
            </w:r>
          </w:p>
          <w:p>
            <w:pPr>
              <w:spacing w:after="0" w:before="0" w:line="260"/>
            </w:pPr>
            <w:r>
              <w:rPr>
                <w:rFonts w:ascii="Consolas" w:cs="Consolas" w:eastAsia="Consolas" w:hAnsi="Consolas"/>
                <w:color w:val="1A2744"/>
                <w:sz w:val="20"/>
                <w:szCs w:val="20"/>
              </w:rPr>
              <w:t xml:space="preserve"># of the integrator’s fork, then a second PR from the integrator’s fork</w:t>
            </w:r>
          </w:p>
          <w:p>
            <w:pPr>
              <w:spacing w:after="0" w:before="0" w:line="260"/>
            </w:pPr>
            <w:r>
              <w:rPr>
                <w:rFonts w:ascii="Consolas" w:cs="Consolas" w:eastAsia="Consolas" w:hAnsi="Consolas"/>
                <w:color w:val="1A2744"/>
                <w:sz w:val="20"/>
                <w:szCs w:val="20"/>
              </w:rPr>
              <w:t xml:space="preserve"># to the upstream course repo.</w:t>
            </w:r>
          </w:p>
          <w:p>
            <w:pPr>
              <w:spacing w:after="0" w:before="0" w:line="260"/>
            </w:pPr>
            <w:r>
              <w:rPr>
                <w:rFonts w:ascii="Consolas" w:cs="Consolas" w:eastAsia="Consolas" w:hAnsi="Consolas"/>
                <w:color w:val="1A2744"/>
                <w:sz w:val="20"/>
                <w:szCs w:val="20"/>
              </w:rPr>
              <w:t xml:space="preserve">#</w:t>
            </w:r>
          </w:p>
          <w:p>
            <w:pPr>
              <w:spacing w:after="0" w:before="0" w:line="260"/>
            </w:pPr>
            <w:r>
              <w:rPr>
                <w:rFonts w:ascii="Consolas" w:cs="Consolas" w:eastAsia="Consolas" w:hAnsi="Consolas"/>
                <w:color w:val="1A2744"/>
                <w:sz w:val="20"/>
                <w:szCs w:val="20"/>
              </w:rPr>
              <w:t xml:space="preserve"># After the upstream PR is merged, tag the submission:</w:t>
            </w:r>
          </w:p>
          <w:p>
            <w:pPr>
              <w:spacing w:after="0" w:before="0" w:line="260"/>
            </w:pPr>
            <w:r>
              <w:rPr>
                <w:rFonts w:ascii="Consolas" w:cs="Consolas" w:eastAsia="Consolas" w:hAnsi="Consolas"/>
                <w:color w:val="1A2744"/>
                <w:sz w:val="20"/>
                <w:szCs w:val="20"/>
              </w:rPr>
              <w:t xml:space="preserve">git checkout main</w:t>
            </w:r>
          </w:p>
          <w:p>
            <w:pPr>
              <w:spacing w:after="0" w:before="0" w:line="260"/>
            </w:pPr>
            <w:r>
              <w:rPr>
                <w:rFonts w:ascii="Consolas" w:cs="Consolas" w:eastAsia="Consolas" w:hAnsi="Consolas"/>
                <w:color w:val="1A2744"/>
                <w:sz w:val="20"/>
                <w:szCs w:val="20"/>
              </w:rPr>
              <w:t xml:space="preserve">git pull upstream main</w:t>
            </w:r>
          </w:p>
          <w:p>
            <w:pPr>
              <w:spacing w:after="0" w:before="0" w:line="260"/>
            </w:pPr>
            <w:r>
              <w:rPr>
                <w:rFonts w:ascii="Consolas" w:cs="Consolas" w:eastAsia="Consolas" w:hAnsi="Consolas"/>
                <w:color w:val="1A2744"/>
                <w:sz w:val="20"/>
                <w:szCs w:val="20"/>
              </w:rPr>
              <w:t xml:space="preserve">git tag -a mp03-team-&lt;NN&gt; -m "MP03 submission for Team &lt;NN&gt;: &lt;Member 1&gt;, &lt;Member 2&gt;, &lt;Member 3&gt;"</w:t>
            </w:r>
          </w:p>
          <w:p>
            <w:pPr>
              <w:spacing w:after="0" w:before="0" w:line="260"/>
            </w:pPr>
            <w:r>
              <w:rPr>
                <w:rFonts w:ascii="Consolas" w:cs="Consolas" w:eastAsia="Consolas" w:hAnsi="Consolas"/>
                <w:color w:val="1A2744"/>
                <w:sz w:val="20"/>
                <w:szCs w:val="20"/>
              </w:rPr>
              <w:t xml:space="preserve">git push origin mp03-team-&lt;NN&gt;</w:t>
            </w:r>
          </w:p>
        </w:tc>
      </w:tr>
    </w:tbl>
    <w:p>
      <w:pPr>
        <w:pBdr>
          <w:bottom w:val="single" w:color="2563A8" w:sz="8" w:space="1"/>
        </w:pBdr>
        <w:spacing w:after="140" w:before="320"/>
      </w:pPr>
      <w:r>
        <w:rPr>
          <w:rFonts w:ascii="Calibri" w:cs="Calibri" w:eastAsia="Calibri" w:hAnsi="Calibri"/>
          <w:b/>
          <w:bCs/>
          <w:color w:val="1A2744"/>
          <w:sz w:val="28"/>
          <w:szCs w:val="28"/>
        </w:rPr>
        <w:t xml:space="preserve">7.  Verification Checklist</w:t>
      </w:r>
    </w:p>
    <w:p>
      <w:pPr>
        <w:spacing w:after="140" w:before="0"/>
        <w:jc w:val="left"/>
      </w:pPr>
      <w:r>
        <w:rPr>
          <w:rFonts w:ascii="Calibri" w:cs="Calibri" w:eastAsia="Calibri" w:hAnsi="Calibri"/>
          <w:color w:val="1F2937"/>
          <w:sz w:val="22"/>
          <w:szCs w:val="22"/>
        </w:rPr>
        <w:t xml:space="preserve">The integrator runs through this checklist before submission. Items that fail will lose rubric points proportional to their weight in Section 8.</w:t>
      </w:r>
    </w:p>
    <w:p>
      <w:pPr>
        <w:pStyle w:val="ListParagraph"/>
        <w:numPr>
          <w:ilvl w:val="0"/>
          <w:numId w:val="3"/>
        </w:numPr>
        <w:spacing w:after="80" w:before="0"/>
      </w:pPr>
      <w:r>
        <w:rPr>
          <w:rFonts w:ascii="Calibri" w:cs="Calibri" w:eastAsia="Calibri" w:hAnsi="Calibri"/>
          <w:color w:val="1F2937"/>
          <w:sz w:val="22"/>
          <w:szCs w:val="22"/>
        </w:rPr>
        <w:t xml:space="preserve">The integrated notebook restarts cleanly and runs end-to-end (Runtime → Restart and run all in Colab) without manual intervention beyond the two acknowledged setup steps (API key in Colab Secrets, User-Agent placeholder replaced).</w:t>
      </w:r>
    </w:p>
    <w:p>
      <w:pPr>
        <w:pStyle w:val="ListParagraph"/>
        <w:numPr>
          <w:ilvl w:val="0"/>
          <w:numId w:val="3"/>
        </w:numPr>
        <w:spacing w:after="80" w:before="0"/>
      </w:pPr>
      <w:r>
        <w:rPr>
          <w:rFonts w:ascii="Calibri" w:cs="Calibri" w:eastAsia="Calibri" w:hAnsi="Calibri"/>
          <w:color w:val="1F2937"/>
          <w:sz w:val="22"/>
          <w:szCs w:val="22"/>
        </w:rPr>
        <w:t xml:space="preserve">The notebook contains no committed API keys, no hard-coded personal credentials, and no debug print statements left over from development.</w:t>
      </w:r>
    </w:p>
    <w:p>
      <w:pPr>
        <w:pStyle w:val="ListParagraph"/>
        <w:numPr>
          <w:ilvl w:val="0"/>
          <w:numId w:val="3"/>
        </w:numPr>
        <w:spacing w:after="80" w:before="0"/>
      </w:pPr>
      <w:r>
        <w:rPr>
          <w:rFonts w:ascii="Calibri" w:cs="Calibri" w:eastAsia="Calibri" w:hAnsi="Calibri"/>
          <w:color w:val="1F2937"/>
          <w:sz w:val="22"/>
          <w:szCs w:val="22"/>
        </w:rPr>
        <w:t xml:space="preserve">The window-experiment results table is present in the methodology section of the notebook and contains at least one row per (industry, window) trial actually run.</w:t>
      </w:r>
    </w:p>
    <w:p>
      <w:pPr>
        <w:pStyle w:val="ListParagraph"/>
        <w:numPr>
          <w:ilvl w:val="0"/>
          <w:numId w:val="3"/>
        </w:numPr>
        <w:spacing w:after="80" w:before="0"/>
      </w:pPr>
      <w:r>
        <w:rPr>
          <w:rFonts w:ascii="Calibri" w:cs="Calibri" w:eastAsia="Calibri" w:hAnsi="Calibri"/>
          <w:color w:val="1F2937"/>
          <w:sz w:val="22"/>
          <w:szCs w:val="22"/>
        </w:rPr>
        <w:t xml:space="preserve">Both industries reach at least 8 location events at the chosen window, OR a 360-day trial was run for both industries and the short-fall is acknowledged in the methodology section.</w:t>
      </w:r>
    </w:p>
    <w:p>
      <w:pPr>
        <w:pStyle w:val="ListParagraph"/>
        <w:numPr>
          <w:ilvl w:val="0"/>
          <w:numId w:val="3"/>
        </w:numPr>
        <w:spacing w:after="80" w:before="0"/>
      </w:pPr>
      <w:r>
        <w:rPr>
          <w:rFonts w:ascii="Calibri" w:cs="Calibri" w:eastAsia="Calibri" w:hAnsi="Calibri"/>
          <w:color w:val="1F2937"/>
          <w:sz w:val="22"/>
          <w:szCs w:val="22"/>
        </w:rPr>
        <w:t xml:space="preserve">Cumulative window-tuning cost is at or below $3.00 (estimated from token counts; exact figure recorded in the methodology section).</w:t>
      </w:r>
    </w:p>
    <w:p>
      <w:pPr>
        <w:pStyle w:val="ListParagraph"/>
        <w:numPr>
          <w:ilvl w:val="0"/>
          <w:numId w:val="3"/>
        </w:numPr>
        <w:spacing w:after="80" w:before="0"/>
      </w:pPr>
      <w:r>
        <w:rPr>
          <w:rFonts w:ascii="Calibri" w:cs="Calibri" w:eastAsia="Calibri" w:hAnsi="Calibri"/>
          <w:color w:val="1F2937"/>
          <w:sz w:val="22"/>
          <w:szCs w:val="22"/>
        </w:rPr>
        <w:t xml:space="preserve">The integrated folium map renders inline in the notebook and is also exported as a standalone HTML file at maps/mp03_map_team_&lt;NN&gt;.html.</w:t>
      </w:r>
    </w:p>
    <w:p>
      <w:pPr>
        <w:pStyle w:val="ListParagraph"/>
        <w:numPr>
          <w:ilvl w:val="0"/>
          <w:numId w:val="3"/>
        </w:numPr>
        <w:spacing w:after="80" w:before="0"/>
      </w:pPr>
      <w:r>
        <w:rPr>
          <w:rFonts w:ascii="Calibri" w:cs="Calibri" w:eastAsia="Calibri" w:hAnsi="Calibri"/>
          <w:color w:val="1F2937"/>
          <w:sz w:val="22"/>
          <w:szCs w:val="22"/>
        </w:rPr>
        <w:t xml:space="preserve">Every marker on the map has a popup that displays the company name, ticker, industry label, filing date, event type, summary, and a working hyperlink to the underlying SEC filing.</w:t>
      </w:r>
    </w:p>
    <w:p>
      <w:pPr>
        <w:pStyle w:val="ListParagraph"/>
        <w:numPr>
          <w:ilvl w:val="0"/>
          <w:numId w:val="3"/>
        </w:numPr>
        <w:spacing w:after="80" w:before="0"/>
      </w:pPr>
      <w:r>
        <w:rPr>
          <w:rFonts w:ascii="Calibri" w:cs="Calibri" w:eastAsia="Calibri" w:hAnsi="Calibri"/>
          <w:color w:val="1F2937"/>
          <w:sz w:val="22"/>
          <w:szCs w:val="22"/>
        </w:rPr>
        <w:t xml:space="preserve">Industry is visually distinguishable from event type on the map (typical scheme: industry by marker color family, event type by marker icon shape).</w:t>
      </w:r>
    </w:p>
    <w:p>
      <w:pPr>
        <w:pStyle w:val="ListParagraph"/>
        <w:numPr>
          <w:ilvl w:val="0"/>
          <w:numId w:val="3"/>
        </w:numPr>
        <w:spacing w:after="80" w:before="0"/>
      </w:pPr>
      <w:r>
        <w:rPr>
          <w:rFonts w:ascii="Calibri" w:cs="Calibri" w:eastAsia="Calibri" w:hAnsi="Calibri"/>
          <w:color w:val="1F2937"/>
          <w:sz w:val="22"/>
          <w:szCs w:val="22"/>
        </w:rPr>
        <w:t xml:space="preserve">The methodology section is present both as a notebook cell and as a standalone Markdown file at methodology/mp03_methodology_team_&lt;NN&gt;.md, and covers all five required topics listed in Section 5.</w:t>
      </w:r>
    </w:p>
    <w:p>
      <w:pPr>
        <w:pStyle w:val="ListParagraph"/>
        <w:numPr>
          <w:ilvl w:val="0"/>
          <w:numId w:val="3"/>
        </w:numPr>
        <w:spacing w:after="80" w:before="0"/>
      </w:pPr>
      <w:r>
        <w:rPr>
          <w:rFonts w:ascii="Calibri" w:cs="Calibri" w:eastAsia="Calibri" w:hAnsi="Calibri"/>
          <w:color w:val="1F2937"/>
          <w:sz w:val="22"/>
          <w:szCs w:val="22"/>
        </w:rPr>
        <w:t xml:space="preserve">The comparative reflection (300 to 400 words) is present in the notebook and as a standalone Markdown file at reflections/mp03_reflection_team_&lt;NN&gt;.md.</w:t>
      </w:r>
    </w:p>
    <w:p>
      <w:pPr>
        <w:pStyle w:val="ListParagraph"/>
        <w:numPr>
          <w:ilvl w:val="0"/>
          <w:numId w:val="3"/>
        </w:numPr>
        <w:spacing w:after="80" w:before="0"/>
      </w:pPr>
      <w:r>
        <w:rPr>
          <w:rFonts w:ascii="Calibri" w:cs="Calibri" w:eastAsia="Calibri" w:hAnsi="Calibri"/>
          <w:color w:val="1F2937"/>
          <w:sz w:val="22"/>
          <w:szCs w:val="22"/>
        </w:rPr>
        <w:t xml:space="preserve">The team branch name is exactly mp/03-industry-comparison-team-&lt;NN&gt; and the submission tag mp03-team-&lt;NN&gt; is pushed.</w:t>
      </w:r>
    </w:p>
    <w:p>
      <w:pPr>
        <w:pStyle w:val="ListParagraph"/>
        <w:numPr>
          <w:ilvl w:val="0"/>
          <w:numId w:val="3"/>
        </w:numPr>
        <w:spacing w:after="80" w:before="0"/>
      </w:pPr>
      <w:r>
        <w:rPr>
          <w:rFonts w:ascii="Calibri" w:cs="Calibri" w:eastAsia="Calibri" w:hAnsi="Calibri"/>
          <w:color w:val="1F2937"/>
          <w:sz w:val="22"/>
          <w:szCs w:val="22"/>
        </w:rPr>
        <w:t xml:space="preserve">At least three commits per team member appear in the merged history, each following the feat(scope): convention.</w:t>
      </w:r>
    </w:p>
    <w:p>
      <w:pPr>
        <w:pStyle w:val="ListParagraph"/>
        <w:numPr>
          <w:ilvl w:val="0"/>
          <w:numId w:val="3"/>
        </w:numPr>
        <w:spacing w:after="80" w:before="0"/>
      </w:pPr>
      <w:r>
        <w:rPr>
          <w:rFonts w:ascii="Calibri" w:cs="Calibri" w:eastAsia="Calibri" w:hAnsi="Calibri"/>
          <w:color w:val="1F2937"/>
          <w:sz w:val="22"/>
          <w:szCs w:val="22"/>
        </w:rPr>
        <w:t xml:space="preserve">The Brightspace submission text field contains (a) the URL of the upstream pull request and (b) the names of all three team members and their roles.</w:t>
      </w:r>
    </w:p>
    <w:p>
      <w:pPr>
        <w:pBdr>
          <w:bottom w:val="single" w:color="2563A8" w:sz="8" w:space="1"/>
        </w:pBdr>
        <w:spacing w:after="140" w:before="320"/>
      </w:pPr>
      <w:r>
        <w:rPr>
          <w:rFonts w:ascii="Calibri" w:cs="Calibri" w:eastAsia="Calibri" w:hAnsi="Calibri"/>
          <w:b/>
          <w:bCs/>
          <w:color w:val="1A2744"/>
          <w:sz w:val="28"/>
          <w:szCs w:val="28"/>
        </w:rPr>
        <w:t xml:space="preserve">8.  150-Point Grading Rubric</w:t>
      </w:r>
    </w:p>
    <w:p>
      <w:pPr>
        <w:spacing w:after="140" w:before="0"/>
        <w:jc w:val="left"/>
      </w:pPr>
      <w:r>
        <w:rPr>
          <w:rFonts w:ascii="Calibri" w:cs="Calibri" w:eastAsia="Calibri" w:hAnsi="Calibri"/>
          <w:color w:val="1F2937"/>
          <w:sz w:val="22"/>
          <w:szCs w:val="22"/>
        </w:rPr>
        <w:t xml:space="preserve">Points are allocated across eight components. Partial credit is awarded for partial achievement of each criterion. The rubric is weighted to reflect that MP03 is as much an exercise in engineering judgment and analytical writing as it is an exercise in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rPr>
          <w:tblHeader/>
        </w:trPr>
        <w:tc>
          <w:tcPr>
            <w:tcW w:type="dxa" w:w="3000"/>
            <w:tcBorders>
              <w:top w:val="single" w:color="D1D5DB" w:sz="4"/>
              <w:left w:val="single" w:color="D1D5DB" w:sz="4"/>
              <w:bottom w:val="single" w:color="D1D5DB" w:sz="4"/>
              <w:right w:val="single" w:color="D1D5DB" w:sz="4"/>
            </w:tcBorders>
            <w:shd w:fill="E5EEF7" w:color="auto" w:val="clear"/>
            <w:tcMar>
              <w:top w:type="dxa" w:w="80"/>
              <w:left w:type="dxa" w:w="120"/>
              <w:bottom w:type="dxa" w:w="80"/>
              <w:right w:type="dxa" w:w="120"/>
            </w:tcMar>
          </w:tcPr>
          <w:p>
            <w:pPr>
              <w:spacing w:after="0" w:before="0"/>
            </w:pPr>
            <w:r>
              <w:rPr>
                <w:rFonts w:ascii="Calibri" w:cs="Calibri" w:eastAsia="Calibri" w:hAnsi="Calibri"/>
                <w:b/>
                <w:bCs/>
                <w:color w:val="1A2744"/>
                <w:sz w:val="22"/>
                <w:szCs w:val="22"/>
              </w:rPr>
              <w:t xml:space="preserve">Component</w:t>
            </w:r>
          </w:p>
        </w:tc>
        <w:tc>
          <w:tcPr>
            <w:tcW w:type="dxa" w:w="900"/>
            <w:tcBorders>
              <w:top w:val="single" w:color="D1D5DB" w:sz="4"/>
              <w:left w:val="single" w:color="D1D5DB" w:sz="4"/>
              <w:bottom w:val="single" w:color="D1D5DB" w:sz="4"/>
              <w:right w:val="single" w:color="D1D5DB" w:sz="4"/>
            </w:tcBorders>
            <w:shd w:fill="E5EEF7" w:color="auto" w:val="clear"/>
            <w:tcMar>
              <w:top w:type="dxa" w:w="80"/>
              <w:left w:type="dxa" w:w="120"/>
              <w:bottom w:type="dxa" w:w="80"/>
              <w:right w:type="dxa" w:w="120"/>
            </w:tcMar>
          </w:tcPr>
          <w:p>
            <w:pPr>
              <w:spacing w:after="0" w:before="0"/>
            </w:pPr>
            <w:r>
              <w:rPr>
                <w:rFonts w:ascii="Calibri" w:cs="Calibri" w:eastAsia="Calibri" w:hAnsi="Calibri"/>
                <w:b/>
                <w:bCs/>
                <w:color w:val="1A2744"/>
                <w:sz w:val="22"/>
                <w:szCs w:val="22"/>
              </w:rPr>
              <w:t xml:space="preserve">Points</w:t>
            </w:r>
          </w:p>
        </w:tc>
        <w:tc>
          <w:tcPr>
            <w:tcW w:type="dxa" w:w="5460"/>
            <w:tcBorders>
              <w:top w:val="single" w:color="D1D5DB" w:sz="4"/>
              <w:left w:val="single" w:color="D1D5DB" w:sz="4"/>
              <w:bottom w:val="single" w:color="D1D5DB" w:sz="4"/>
              <w:right w:val="single" w:color="D1D5DB" w:sz="4"/>
            </w:tcBorders>
            <w:shd w:fill="E5EEF7" w:color="auto" w:val="clear"/>
            <w:tcMar>
              <w:top w:type="dxa" w:w="80"/>
              <w:left w:type="dxa" w:w="120"/>
              <w:bottom w:type="dxa" w:w="80"/>
              <w:right w:type="dxa" w:w="120"/>
            </w:tcMar>
          </w:tcPr>
          <w:p>
            <w:pPr>
              <w:spacing w:after="0" w:before="0"/>
            </w:pPr>
            <w:r>
              <w:rPr>
                <w:rFonts w:ascii="Calibri" w:cs="Calibri" w:eastAsia="Calibri" w:hAnsi="Calibri"/>
                <w:b/>
                <w:bCs/>
                <w:color w:val="1A2744"/>
                <w:sz w:val="22"/>
                <w:szCs w:val="22"/>
              </w:rPr>
              <w:t xml:space="preserve">Full-credit criterion</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Pipeline correctness (both industries)</w:t>
            </w:r>
          </w:p>
        </w:tc>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30</w:t>
            </w:r>
          </w:p>
        </w:tc>
        <w:tc>
          <w:tcPr>
            <w:tcW w:type="dxa" w:w="54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The integrated notebook runs end-to-end without errors. Stage 3 extractions are internally consistent (event_type matches summary; city and state are populated where is_location_event is true).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Window-tuning experiment</w:t>
            </w:r>
          </w:p>
        </w:tc>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25</w:t>
            </w:r>
          </w:p>
        </w:tc>
        <w:tc>
          <w:tcPr>
            <w:tcW w:type="dxa" w:w="54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Results table is complete; the chosen window is justified; cost ceiling was respected; Haiku token-cost arithmetic is correct.</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Map quality</w:t>
            </w:r>
          </w:p>
        </w:tc>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20</w:t>
            </w:r>
          </w:p>
        </w:tc>
        <w:tc>
          <w:tcPr>
            <w:tcW w:type="dxa" w:w="54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Industry and event type are simultaneously and unambiguously distinguishable; popups are informative; base tile choice supports the data.</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Methodology section</w:t>
            </w:r>
          </w:p>
        </w:tc>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20</w:t>
            </w:r>
          </w:p>
        </w:tc>
        <w:tc>
          <w:tcPr>
            <w:tcW w:type="dxa" w:w="54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Covers all five required topics with substantive reasoning, not boilerplate. Modifications to seeded lists are justified by evidence.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Comparative reflection</w:t>
            </w:r>
          </w:p>
        </w:tc>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25</w:t>
            </w:r>
          </w:p>
        </w:tc>
        <w:tc>
          <w:tcPr>
            <w:tcW w:type="dxa" w:w="54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Identifies a real geographic or sectoral pattern; offers substantive interpretation grounded in the underlying business economics; addresses limitations honestly. Mere description of the maps does not earn full credit.</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Integration and integrated testing</w:t>
            </w:r>
          </w:p>
        </w:tc>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15</w:t>
            </w:r>
          </w:p>
        </w:tc>
        <w:tc>
          <w:tcPr>
            <w:tcW w:type="dxa" w:w="54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Integrator role visibly executed: team branch maintained cleanly, pipeline-lead PRs reviewed and merged, integrated notebook runs end-to-end after final merge.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Code quality</w:t>
            </w:r>
          </w:p>
        </w:tc>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10</w:t>
            </w:r>
          </w:p>
        </w:tc>
        <w:tc>
          <w:tcPr>
            <w:tcW w:type="dxa" w:w="54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Functions have docstrings; variable names are descriptive; option-specific code is in clearly-labeled sections; comments explain non-obvious choices.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Submission completeness</w:t>
            </w:r>
          </w:p>
        </w:tc>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5</w:t>
            </w:r>
          </w:p>
        </w:tc>
        <w:tc>
          <w:tcPr>
            <w:tcW w:type="dxa" w:w="54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All four artifact types present (notebook, map HTML, methodology MD, reflection MD), correctly named, in correct directories.</w:t>
            </w:r>
          </w:p>
        </w:tc>
      </w:tr>
    </w:tbl>
    <w:p>
      <w:pPr>
        <w:spacing w:after="120" w:before="0"/>
      </w:pPr>
      <w:r>
        <w:t xml:space="preserve"/>
      </w:r>
    </w:p>
    <w:p>
      <w:pPr>
        <w:spacing w:after="100" w:before="220"/>
      </w:pPr>
      <w:r>
        <w:rPr>
          <w:rFonts w:ascii="Calibri" w:cs="Calibri" w:eastAsia="Calibri" w:hAnsi="Calibri"/>
          <w:b/>
          <w:bCs/>
          <w:color w:val="2563A8"/>
          <w:sz w:val="24"/>
          <w:szCs w:val="24"/>
        </w:rPr>
        <w:t xml:space="preserve">Late submission policy</w:t>
      </w:r>
    </w:p>
    <w:p>
      <w:pPr>
        <w:spacing w:after="140" w:before="0"/>
        <w:jc w:val="left"/>
      </w:pPr>
      <w:r>
        <w:rPr>
          <w:rFonts w:ascii="Calibri" w:cs="Calibri" w:eastAsia="Calibri" w:hAnsi="Calibri"/>
          <w:color w:val="1F2937"/>
          <w:sz w:val="22"/>
          <w:szCs w:val="22"/>
        </w:rPr>
        <w:t xml:space="preserve">Late submissions are accepted at a deduction of 2.5 points per calendar day, beginning at the deadline. Fractional days round up: a submission five hours past the deadline incurs the full 2.5-point deduction. Submissions more than fourteen calendar days late are not accepted without prior written approval from the instructor.</w:t>
      </w:r>
    </w:p>
    <w:p>
      <w:pPr>
        <w:pBdr>
          <w:bottom w:val="single" w:color="2563A8" w:sz="8" w:space="1"/>
        </w:pBdr>
        <w:spacing w:after="140" w:before="320"/>
      </w:pPr>
      <w:r>
        <w:rPr>
          <w:rFonts w:ascii="Calibri" w:cs="Calibri" w:eastAsia="Calibri" w:hAnsi="Calibri"/>
          <w:b/>
          <w:bCs/>
          <w:color w:val="1A2744"/>
          <w:sz w:val="28"/>
          <w:szCs w:val="28"/>
        </w:rPr>
        <w:t xml:space="preserve">9.  Submission Instructions</w:t>
      </w:r>
    </w:p>
    <w:p>
      <w:pPr>
        <w:spacing w:after="140" w:before="0"/>
        <w:jc w:val="left"/>
      </w:pPr>
      <w:r>
        <w:rPr>
          <w:rFonts w:ascii="Calibri" w:cs="Calibri" w:eastAsia="Calibri" w:hAnsi="Calibri"/>
          <w:color w:val="1F2937"/>
          <w:sz w:val="22"/>
          <w:szCs w:val="22"/>
        </w:rPr>
        <w:t xml:space="preserve">Submit through Brightspace under the MP03 dropbox. The integrator uploads on behalf of the team; the two pipeline leads submit a one-line text entry naming their team and confirming joint authorship.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D1D5DB" w:sz="4"/>
              <w:left w:val="single" w:color="D1D5DB" w:sz="4"/>
              <w:bottom w:val="single" w:color="D1D5DB" w:sz="4"/>
              <w:right w:val="single" w:color="D1D5DB" w:sz="4"/>
            </w:tcBorders>
            <w:shd w:fill="E5EEF7" w:color="auto" w:val="clear"/>
            <w:tcMar>
              <w:top w:type="dxa" w:w="80"/>
              <w:left w:type="dxa" w:w="120"/>
              <w:bottom w:type="dxa" w:w="80"/>
              <w:right w:type="dxa" w:w="120"/>
            </w:tcMar>
          </w:tcPr>
          <w:p>
            <w:pPr>
              <w:spacing w:after="0" w:before="0"/>
            </w:pPr>
            <w:r>
              <w:rPr>
                <w:rFonts w:ascii="Calibri" w:cs="Calibri" w:eastAsia="Calibri" w:hAnsi="Calibri"/>
                <w:b/>
                <w:bCs/>
                <w:color w:val="1A2744"/>
                <w:sz w:val="22"/>
                <w:szCs w:val="22"/>
              </w:rPr>
              <w:t xml:space="preserve">Artifact</w:t>
            </w:r>
          </w:p>
        </w:tc>
        <w:tc>
          <w:tcPr>
            <w:tcW w:type="dxa" w:w="3760"/>
            <w:tcBorders>
              <w:top w:val="single" w:color="D1D5DB" w:sz="4"/>
              <w:left w:val="single" w:color="D1D5DB" w:sz="4"/>
              <w:bottom w:val="single" w:color="D1D5DB" w:sz="4"/>
              <w:right w:val="single" w:color="D1D5DB" w:sz="4"/>
            </w:tcBorders>
            <w:shd w:fill="E5EEF7" w:color="auto" w:val="clear"/>
            <w:tcMar>
              <w:top w:type="dxa" w:w="80"/>
              <w:left w:type="dxa" w:w="120"/>
              <w:bottom w:type="dxa" w:w="80"/>
              <w:right w:type="dxa" w:w="120"/>
            </w:tcMar>
          </w:tcPr>
          <w:p>
            <w:pPr>
              <w:spacing w:after="0" w:before="0"/>
            </w:pPr>
            <w:r>
              <w:rPr>
                <w:rFonts w:ascii="Calibri" w:cs="Calibri" w:eastAsia="Calibri" w:hAnsi="Calibri"/>
                <w:b/>
                <w:bCs/>
                <w:color w:val="1A2744"/>
                <w:sz w:val="22"/>
                <w:szCs w:val="22"/>
              </w:rPr>
              <w:t xml:space="preserve">Required path and filename</w:t>
            </w:r>
          </w:p>
        </w:tc>
        <w:tc>
          <w:tcPr>
            <w:tcW w:type="dxa" w:w="3200"/>
            <w:tcBorders>
              <w:top w:val="single" w:color="D1D5DB" w:sz="4"/>
              <w:left w:val="single" w:color="D1D5DB" w:sz="4"/>
              <w:bottom w:val="single" w:color="D1D5DB" w:sz="4"/>
              <w:right w:val="single" w:color="D1D5DB" w:sz="4"/>
            </w:tcBorders>
            <w:shd w:fill="E5EEF7" w:color="auto" w:val="clear"/>
            <w:tcMar>
              <w:top w:type="dxa" w:w="80"/>
              <w:left w:type="dxa" w:w="120"/>
              <w:bottom w:type="dxa" w:w="80"/>
              <w:right w:type="dxa" w:w="120"/>
            </w:tcMar>
          </w:tcPr>
          <w:p>
            <w:pPr>
              <w:spacing w:after="0" w:before="0"/>
            </w:pPr>
            <w:r>
              <w:rPr>
                <w:rFonts w:ascii="Calibri" w:cs="Calibri" w:eastAsia="Calibri" w:hAnsi="Calibri"/>
                <w:b/>
                <w:bCs/>
                <w:color w:val="1A2744"/>
                <w:sz w:val="22"/>
                <w:szCs w:val="22"/>
              </w:rPr>
              <w:t xml:space="preserve">Submission channel</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Integrated notebook</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notebooks/MP03_Notebook_team_&lt;NN&gt;.ipynb</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Brightspace upload + Git PR</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Rendered folium map</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maps/mp03_map_team_&lt;NN&gt;.html</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Brightspace upload + Git PR</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Methodology document</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methodology/mp03_methodology_team_&lt;NN&gt;.md</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Brightspace upload + Git PR</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Comparative reflection</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reflections/mp03_reflection_team_&lt;NN&gt;.md</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Brightspace upload + Git PR</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Pull request URL + team roster</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(text field, not a file)</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Brightspace text submission field</w:t>
            </w:r>
          </w:p>
        </w:tc>
      </w:tr>
    </w:tbl>
    <w:p>
      <w:pPr>
        <w:spacing w:after="140" w:before="0"/>
      </w:pPr>
      <w:r>
        <w:t xml:space="preserve"/>
      </w:r>
    </w:p>
    <w:p>
      <w:pPr>
        <w:spacing w:after="100" w:before="220"/>
      </w:pPr>
      <w:r>
        <w:rPr>
          <w:rFonts w:ascii="Calibri" w:cs="Calibri" w:eastAsia="Calibri" w:hAnsi="Calibri"/>
          <w:b/>
          <w:bCs/>
          <w:color w:val="2563A8"/>
          <w:sz w:val="24"/>
          <w:szCs w:val="24"/>
        </w:rPr>
        <w:t xml:space="preserve">What not to submit</w:t>
      </w:r>
    </w:p>
    <w:p>
      <w:pPr>
        <w:pStyle w:val="ListParagraph"/>
        <w:numPr>
          <w:ilvl w:val="0"/>
          <w:numId w:val="2"/>
        </w:numPr>
        <w:spacing w:after="80" w:before="0"/>
      </w:pPr>
      <w:r>
        <w:rPr>
          <w:rFonts w:ascii="Calibri" w:cs="Calibri" w:eastAsia="Calibri" w:hAnsi="Calibri"/>
          <w:color w:val="1F2937"/>
          <w:sz w:val="22"/>
          <w:szCs w:val="22"/>
        </w:rPr>
        <w:t xml:space="preserve">Do not submit your Anthropic API key. Submissions that contain a working API key in the notebook or in any committed file will receive an automatic deduction and the key will be revoked.</w:t>
      </w:r>
    </w:p>
    <w:p>
      <w:pPr>
        <w:pStyle w:val="ListParagraph"/>
        <w:numPr>
          <w:ilvl w:val="0"/>
          <w:numId w:val="2"/>
        </w:numPr>
        <w:spacing w:after="80" w:before="0"/>
      </w:pPr>
      <w:r>
        <w:rPr>
          <w:rFonts w:ascii="Calibri" w:cs="Calibri" w:eastAsia="Calibri" w:hAnsi="Calibri"/>
          <w:color w:val="1F2937"/>
          <w:sz w:val="22"/>
          <w:szCs w:val="22"/>
        </w:rPr>
        <w:t xml:space="preserve">Do not submit zip archives or directory trees. Each artifact is uploaded individually.</w:t>
      </w:r>
    </w:p>
    <w:p>
      <w:pPr>
        <w:pStyle w:val="ListParagraph"/>
        <w:numPr>
          <w:ilvl w:val="0"/>
          <w:numId w:val="2"/>
        </w:numPr>
        <w:spacing w:after="80" w:before="0"/>
      </w:pPr>
      <w:r>
        <w:rPr>
          <w:rFonts w:ascii="Calibri" w:cs="Calibri" w:eastAsia="Calibri" w:hAnsi="Calibri"/>
          <w:color w:val="1F2937"/>
          <w:sz w:val="22"/>
          <w:szCs w:val="22"/>
        </w:rPr>
        <w:t xml:space="preserve">Do not submit screenshots of the map in place of the map HTML file. The grading process opens the HTML file directly to verify interactivity.</w:t>
      </w:r>
    </w:p>
    <w:p>
      <w:pPr>
        <w:pStyle w:val="ListParagraph"/>
        <w:numPr>
          <w:ilvl w:val="0"/>
          <w:numId w:val="2"/>
        </w:numPr>
        <w:spacing w:after="80" w:before="0"/>
      </w:pPr>
      <w:r>
        <w:rPr>
          <w:rFonts w:ascii="Calibri" w:cs="Calibri" w:eastAsia="Calibri" w:hAnsi="Calibri"/>
          <w:color w:val="1F2937"/>
          <w:sz w:val="22"/>
          <w:szCs w:val="22"/>
        </w:rPr>
        <w:t xml:space="preserve">Do not commit your team’s window-tuning trial outputs to the repository as separate notebooks. The window-experiment results table records the trials; the trial notebooks themselves are scratch work and should not be in the submission.</w:t>
      </w:r>
    </w:p>
    <w:p>
      <w:pPr>
        <w:pBdr>
          <w:bottom w:val="single" w:color="2563A8" w:sz="8" w:space="1"/>
        </w:pBdr>
        <w:spacing w:after="140" w:before="320"/>
      </w:pPr>
      <w:r>
        <w:rPr>
          <w:rFonts w:ascii="Calibri" w:cs="Calibri" w:eastAsia="Calibri" w:hAnsi="Calibri"/>
          <w:b/>
          <w:bCs/>
          <w:color w:val="1A2744"/>
          <w:sz w:val="28"/>
          <w:szCs w:val="28"/>
        </w:rPr>
        <w:t xml:space="preserve">10.  Office Hours and Support</w:t>
      </w:r>
    </w:p>
    <w:p>
      <w:pPr>
        <w:spacing w:after="140" w:before="0"/>
        <w:jc w:val="left"/>
      </w:pPr>
      <w:r>
        <w:rPr>
          <w:rFonts w:ascii="Calibri" w:cs="Calibri" w:eastAsia="Calibri" w:hAnsi="Calibri"/>
          <w:color w:val="1F2937"/>
          <w:sz w:val="22"/>
          <w:szCs w:val="22"/>
        </w:rPr>
        <w:t xml:space="preserve">Questions on the project, the API, or the pipeline should be brought to office hours or directed to the instructor by email. The instructor responds within one business day. Questions sent the night before the deadline may not be answered in time; plan accordingly.</w:t>
      </w:r>
    </w:p>
    <w:p>
      <w:pPr>
        <w:spacing w:after="100" w:before="220"/>
      </w:pPr>
      <w:r>
        <w:rPr>
          <w:rFonts w:ascii="Calibri" w:cs="Calibri" w:eastAsia="Calibri" w:hAnsi="Calibri"/>
          <w:b/>
          <w:bCs/>
          <w:color w:val="2563A8"/>
          <w:sz w:val="24"/>
          <w:szCs w:val="24"/>
        </w:rPr>
        <w:t xml:space="preserve">Where to ask which kind of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1D5DB" w:sz="4"/>
              <w:left w:val="single" w:color="D1D5DB" w:sz="4"/>
              <w:bottom w:val="single" w:color="D1D5DB" w:sz="4"/>
              <w:right w:val="single" w:color="D1D5DB" w:sz="4"/>
            </w:tcBorders>
            <w:shd w:fill="E5EEF7" w:color="auto" w:val="clear"/>
            <w:tcMar>
              <w:top w:type="dxa" w:w="80"/>
              <w:left w:type="dxa" w:w="120"/>
              <w:bottom w:type="dxa" w:w="80"/>
              <w:right w:type="dxa" w:w="120"/>
            </w:tcMar>
          </w:tcPr>
          <w:p>
            <w:pPr>
              <w:spacing w:after="0" w:before="0"/>
            </w:pPr>
            <w:r>
              <w:rPr>
                <w:rFonts w:ascii="Calibri" w:cs="Calibri" w:eastAsia="Calibri" w:hAnsi="Calibri"/>
                <w:b/>
                <w:bCs/>
                <w:color w:val="1A2744"/>
                <w:sz w:val="22"/>
                <w:szCs w:val="22"/>
              </w:rPr>
              <w:t xml:space="preserve">Question type</w:t>
            </w:r>
          </w:p>
        </w:tc>
        <w:tc>
          <w:tcPr>
            <w:tcW w:type="dxa" w:w="5360"/>
            <w:tcBorders>
              <w:top w:val="single" w:color="D1D5DB" w:sz="4"/>
              <w:left w:val="single" w:color="D1D5DB" w:sz="4"/>
              <w:bottom w:val="single" w:color="D1D5DB" w:sz="4"/>
              <w:right w:val="single" w:color="D1D5DB" w:sz="4"/>
            </w:tcBorders>
            <w:shd w:fill="E5EEF7" w:color="auto" w:val="clear"/>
            <w:tcMar>
              <w:top w:type="dxa" w:w="80"/>
              <w:left w:type="dxa" w:w="120"/>
              <w:bottom w:type="dxa" w:w="80"/>
              <w:right w:type="dxa" w:w="120"/>
            </w:tcMar>
          </w:tcPr>
          <w:p>
            <w:pPr>
              <w:spacing w:after="0" w:before="0"/>
            </w:pPr>
            <w:r>
              <w:rPr>
                <w:rFonts w:ascii="Calibri" w:cs="Calibri" w:eastAsia="Calibri" w:hAnsi="Calibri"/>
                <w:b/>
                <w:bCs/>
                <w:color w:val="1A2744"/>
                <w:sz w:val="22"/>
                <w:szCs w:val="22"/>
              </w:rPr>
              <w:t xml:space="preserve">Best place to ask</w:t>
            </w:r>
          </w:p>
        </w:tc>
      </w:tr>
      <w:tr>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Conceptual: pipeline architecture, recall vs precision, model selection</w:t>
            </w:r>
          </w:p>
        </w:tc>
        <w:tc>
          <w:tcPr>
            <w:tcW w:type="dxa" w:w="53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Office hours or in-class Q&amp;A</w:t>
            </w:r>
          </w:p>
        </w:tc>
      </w:tr>
      <w:tr>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Setup: Anthropic API key, Colab Secrets, User-Agent header</w:t>
            </w:r>
          </w:p>
        </w:tc>
        <w:tc>
          <w:tcPr>
            <w:tcW w:type="dxa" w:w="53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Course Brightspace discussion forum (visible to all students)</w:t>
            </w:r>
          </w:p>
        </w:tc>
      </w:tr>
      <w:tr>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Bug: my notebook produces an unexpected error</w:t>
            </w:r>
          </w:p>
        </w:tc>
        <w:tc>
          <w:tcPr>
            <w:tcW w:type="dxa" w:w="53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Email instructor with the full traceback and the cell that produced it</w:t>
            </w:r>
          </w:p>
        </w:tc>
      </w:tr>
      <w:tr>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Logistics: deadlines, team composition, role swaps, submission format</w:t>
            </w:r>
          </w:p>
        </w:tc>
        <w:tc>
          <w:tcPr>
            <w:tcW w:type="dxa" w:w="53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Email instructor</w:t>
            </w:r>
          </w:p>
        </w:tc>
      </w:tr>
      <w:tr>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Window-tuning: cost is approaching the ceiling</w:t>
            </w:r>
          </w:p>
        </w:tc>
        <w:tc>
          <w:tcPr>
            <w:tcW w:type="dxa" w:w="53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Stop tuning, email the instructor with your current results table</w:t>
            </w:r>
          </w:p>
        </w:tc>
      </w:tr>
      <w:tr>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Grading: rubric clarification before submission</w:t>
            </w:r>
          </w:p>
        </w:tc>
        <w:tc>
          <w:tcPr>
            <w:tcW w:type="dxa" w:w="536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after="0" w:before="0"/>
            </w:pPr>
            <w:r>
              <w:rPr>
                <w:rFonts w:ascii="Calibri" w:cs="Calibri" w:eastAsia="Calibri" w:hAnsi="Calibri"/>
                <w:color w:val="1F2937"/>
                <w:sz w:val="22"/>
                <w:szCs w:val="22"/>
              </w:rPr>
              <w:t xml:space="preserve">Office hours (in person preferred)</w:t>
            </w:r>
          </w:p>
        </w:tc>
      </w:tr>
    </w:tbl>
    <w:p>
      <w:pPr>
        <w:spacing w:after="140" w:before="0"/>
      </w:pPr>
      <w:r>
        <w:t xml:space="preserve"/>
      </w:r>
    </w:p>
    <w:p>
      <w:pPr>
        <w:spacing w:after="100" w:before="220"/>
      </w:pPr>
      <w:r>
        <w:rPr>
          <w:rFonts w:ascii="Calibri" w:cs="Calibri" w:eastAsia="Calibri" w:hAnsi="Calibri"/>
          <w:b/>
          <w:bCs/>
          <w:color w:val="2563A8"/>
          <w:sz w:val="24"/>
          <w:szCs w:val="24"/>
        </w:rPr>
        <w:t xml:space="preserve">Self-service resources before asking</w:t>
      </w:r>
    </w:p>
    <w:p>
      <w:pPr>
        <w:pStyle w:val="ListParagraph"/>
        <w:numPr>
          <w:ilvl w:val="0"/>
          <w:numId w:val="2"/>
        </w:numPr>
        <w:spacing w:after="80" w:before="0"/>
      </w:pPr>
      <w:r>
        <w:rPr>
          <w:rFonts w:ascii="Calibri" w:cs="Calibri" w:eastAsia="Calibri" w:hAnsi="Calibri"/>
          <w:color w:val="1F2937"/>
          <w:sz w:val="22"/>
          <w:szCs w:val="22"/>
        </w:rPr>
        <w:t xml:space="preserve">The Module 15 reading page (Brightspace) covers the conceptual framing and vocabulary.</w:t>
      </w:r>
    </w:p>
    <w:p>
      <w:pPr>
        <w:pStyle w:val="ListParagraph"/>
        <w:numPr>
          <w:ilvl w:val="0"/>
          <w:numId w:val="2"/>
        </w:numPr>
        <w:spacing w:after="80" w:before="0"/>
      </w:pPr>
      <w:r>
        <w:rPr>
          <w:rFonts w:ascii="Calibri" w:cs="Calibri" w:eastAsia="Calibri" w:hAnsi="Calibri"/>
          <w:color w:val="1F2937"/>
          <w:sz w:val="22"/>
          <w:szCs w:val="22"/>
        </w:rPr>
        <w:t xml:space="preserve">The Module 15 instructor notebook (Brightspace and GitHub) is the canonical reference for every preserved function signature and every code pattern in the canonical pipeline.</w:t>
      </w:r>
    </w:p>
    <w:p>
      <w:pPr>
        <w:pStyle w:val="ListParagraph"/>
        <w:numPr>
          <w:ilvl w:val="0"/>
          <w:numId w:val="2"/>
        </w:numPr>
        <w:spacing w:after="80" w:before="0"/>
      </w:pPr>
      <w:r>
        <w:rPr>
          <w:rFonts w:ascii="Calibri" w:cs="Calibri" w:eastAsia="Calibri" w:hAnsi="Calibri"/>
          <w:color w:val="1F2937"/>
          <w:sz w:val="22"/>
          <w:szCs w:val="22"/>
        </w:rPr>
        <w:t xml:space="preserve">The Anthropic API documentation at https://docs.claude.com is the authoritative source for any question about the API itself, including the usage.input_tokens and usage.output_tokens fields used for cost estimation.</w:t>
      </w:r>
    </w:p>
    <w:p>
      <w:pPr>
        <w:pStyle w:val="ListParagraph"/>
        <w:numPr>
          <w:ilvl w:val="0"/>
          <w:numId w:val="2"/>
        </w:numPr>
        <w:spacing w:after="80" w:before="0"/>
      </w:pPr>
      <w:r>
        <w:rPr>
          <w:rFonts w:ascii="Calibri" w:cs="Calibri" w:eastAsia="Calibri" w:hAnsi="Calibri"/>
          <w:color w:val="1F2937"/>
          <w:sz w:val="22"/>
          <w:szCs w:val="22"/>
        </w:rPr>
        <w:t xml:space="preserve">The SEC EDGAR full-text search documentation describes the search endpoint behavior and its parser limitations.</w:t>
      </w:r>
    </w:p>
    <w:p>
      <w:pPr>
        <w:spacing w:after="200" w:before="0"/>
      </w:pPr>
      <w:r>
        <w:t xml:space="preserve"/>
      </w:r>
    </w:p>
    <w:p>
      <w:pPr>
        <w:spacing w:after="0" w:before="0"/>
      </w:pPr>
      <w:r>
        <w:rPr>
          <w:rFonts w:ascii="Calibri" w:cs="Calibri" w:eastAsia="Calibri" w:hAnsi="Calibri"/>
          <w:i/>
          <w:iCs/>
          <w:color w:val="0F7B72"/>
          <w:sz w:val="20"/>
          <w:szCs w:val="20"/>
        </w:rPr>
        <w:t xml:space="preserve">Contact: Patrick Slattery — Patrick.Slattery@Baruch.CUNY.edu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rPr>
    </w:lvl>
    <w:lvl w:ilvl="1" w15:tentative="1">
      <w:start w:val="1"/>
      <w:numFmt w:val="bullet"/>
      <w:lvlText w:val="◦"/>
      <w:lvlJc w:val="left"/>
      <w:pPr>
        <w:ind w:left="1440" w:hanging="360"/>
      </w:pPr>
      <w:rPr>
        <w:rFonts w:ascii="Calibri" w:cs="Calibri" w:eastAsia="Calibri" w:hAnsi="Calibri"/>
      </w:rPr>
    </w:lvl>
  </w:abstractNum>
  <w:abstractNum w:abstractNumId="3" w15:restartNumberingAfterBreak="0">
    <w:multiLevelType w:val="hybridMultilevel"/>
    <w:lvl w:ilvl="0" w15:tentative="1">
      <w:start w:val="1"/>
      <w:numFmt w:val="decimal"/>
      <w:lvlText w:val="%1."/>
      <w:lvlJc w:val="left"/>
      <w:pPr>
        <w:ind w:left="720" w:hanging="360"/>
      </w:pPr>
      <w:rPr>
        <w:rFonts w:ascii="Calibri" w:cs="Calibri" w:eastAsia="Calibri" w:hAnsi="Calibri"/>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MP03 — Press Release to Plot: Industry Comparison</dc:title>
  <dc:subject>CIS 3120 — Programming for Analytics</dc:subject>
  <dc:creator>Patrick Slattery</dc:creator>
  <dc:description>Mini-Project MP03 for CIS 3120 (Baruch College / Zicklin School of Business)</dc:description>
  <cp:lastModifiedBy>Un-named</cp:lastModifiedBy>
  <cp:revision>1</cp:revision>
  <dcterms:created xsi:type="dcterms:W3CDTF">2026-05-03T22:28:23.155Z</dcterms:created>
  <dcterms:modified xsi:type="dcterms:W3CDTF">2026-05-03T22:28:23.175Z</dcterms:modified>
</cp:coreProperties>
</file>

<file path=docProps/custom.xml><?xml version="1.0" encoding="utf-8"?>
<Properties xmlns="http://schemas.openxmlformats.org/officeDocument/2006/custom-properties" xmlns:vt="http://schemas.openxmlformats.org/officeDocument/2006/docPropsVTypes"/>
</file>