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E-Commerce Intelligence: Business Overview, KPI Guide and Recommendations</w:t>
      </w:r>
    </w:p>
    <w:p>
      <w:pPr/>
      <w:r>
        <w:t xml:space="preserve">Real-Time E-Commerce Intelligence Dashboard</w:t>
      </w:r>
    </w:p>
    <w:p>
      <w:pPr>
        <w:pStyle w:val="Heading2"/>
      </w:pPr>
      <w:r>
        <w:t xml:space="preserve">1. Purpose</w:t>
      </w:r>
    </w:p>
    <w:p>
      <w:pPr/>
      <w:r>
        <w:t xml:space="preserve">This document explains the business context behind the E-Commerce Intelligence dashboard, defines every KPI built so far, summarizes what the current data shows, and offers practical recommendations for the business team. It is written so that a non-technical stakeholder can read the dashboard with confidence.</w:t>
      </w:r>
    </w:p>
    <w:p>
      <w:pPr/>
      <w:r>
        <w:rPr>
          <w:b/>
        </w:rPr>
        <w:t xml:space="preserve">Important note on the data:</w:t>
      </w:r>
      <w:r>
        <w:t xml:space="preserve"> the figures quoted here come from a short sample (roughly one week, 1 to 7 October 2019). They are useful for validating the dashboard and for forming hypotheses, but they should not be treated as long-term trends until more history is loaded.</w:t>
      </w:r>
    </w:p>
    <w:p>
      <w:pPr>
        <w:pStyle w:val="Heading2"/>
      </w:pPr>
      <w:r>
        <w:t xml:space="preserve">2. Business Context</w:t>
      </w:r>
    </w:p>
    <w:p>
      <w:pPr/>
      <w:r>
        <w:t xml:space="preserve">The business is an online retailer. Every visit to the website or app produces clickstream events (viewing a product, adding to cart, purchasing). These events are collected in real time and in batch, cleaned, and modeled into a star schema (the gold layer) that Power BI reads through a semantic model.</w:t>
      </w:r>
    </w:p>
    <w:p>
      <w:pPr/>
      <w:r>
        <w:t xml:space="preserve">The dashboard answers four questions:</w:t>
      </w:r>
    </w:p>
    <w:p>
      <w:pPr>
        <w:pStyle w:val="ListParagraph"/>
        <w:numPr>
          <w:ilvl w:val="0"/>
          <w:numId w:val="2"/>
        </w:numPr>
      </w:pPr>
      <w:r>
        <w:t xml:space="preserve">How much are we selling, and how is it changing? (Executive Overview)</w:t>
      </w:r>
    </w:p>
    <w:p>
      <w:pPr>
        <w:pStyle w:val="ListParagraph"/>
        <w:numPr>
          <w:ilvl w:val="0"/>
          <w:numId w:val="2"/>
        </w:numPr>
      </w:pPr>
      <w:r>
        <w:t xml:space="preserve">Which marketing channels and platforms bring revenue? (Marketing Channels and Platform)</w:t>
      </w:r>
    </w:p>
    <w:p>
      <w:pPr>
        <w:pStyle w:val="ListParagraph"/>
        <w:numPr>
          <w:ilvl w:val="0"/>
          <w:numId w:val="2"/>
        </w:numPr>
      </w:pPr>
      <w:r>
        <w:t xml:space="preserve">Where do shoppers drop off between browsing and buying? (Funnel and Product Performance)</w:t>
      </w:r>
    </w:p>
    <w:p>
      <w:pPr>
        <w:pStyle w:val="ListParagraph"/>
        <w:numPr>
          <w:ilvl w:val="0"/>
          <w:numId w:val="2"/>
        </w:numPr>
      </w:pPr>
      <w:r>
        <w:t xml:space="preserve">Which products, brands, and categories drive revenue? (Funnel and Product Performance)</w:t>
      </w:r>
    </w:p>
    <w:p>
      <w:pPr>
        <w:pStyle w:val="Heading3"/>
      </w:pPr>
      <w:r>
        <w:t xml:space="preserve">Data model at a glance</w:t>
      </w:r>
    </w:p>
    <w:tbl>
      <w:tblPr>
        <w:tblStyle w:val="TableGrid"/>
        <w:tblW w:w="0" w:type="auto"/>
        <w:tblLayout w:type="fixed"/>
        <w:tblLook w:val="04A0" w:firstRow="1" w:lastRow="0" w:firstColumn="0" w:lastColumn="0" w:noHBand="0" w:noVBand="1"/>
      </w:tblPr>
      <w:tblGrid>
        <w:gridCol w:w="1470"/>
        <w:gridCol w:w="4920"/>
        <w:gridCol w:w="2970"/>
      </w:tblGrid>
      <w:tr>
        <w:trPr>
          <w:tblHeader/>
        </w:trPr>
        <w:tc>
          <w:tcPr>
            <w:tcW w:w="1470" w:type="dxa"/>
            <w:shd w:val="clear" w:color="auto" w:fill="F2F2F2"/>
          </w:tcPr>
          <w:p>
            <w:pPr/>
            <w:r>
              <w:t xml:space="preserve">Layer</w:t>
            </w:r>
          </w:p>
        </w:tc>
        <w:tc>
          <w:tcPr>
            <w:tcW w:w="4920" w:type="dxa"/>
            <w:shd w:val="clear" w:color="auto" w:fill="F2F2F2"/>
          </w:tcPr>
          <w:p>
            <w:pPr/>
            <w:r>
              <w:t xml:space="preserve">Tables</w:t>
            </w:r>
          </w:p>
        </w:tc>
        <w:tc>
          <w:tcPr>
            <w:tcW w:w="2970" w:type="dxa"/>
            <w:shd w:val="clear" w:color="auto" w:fill="F2F2F2"/>
          </w:tcPr>
          <w:p>
            <w:pPr/>
            <w:r>
              <w:t xml:space="preserve">Role</w:t>
            </w:r>
          </w:p>
        </w:tc>
      </w:tr>
      <w:tr>
        <w:tc>
          <w:tcPr>
            <w:tcW w:w="1470" w:type="dxa"/>
          </w:tcPr>
          <w:p>
            <w:pPr/>
            <w:r>
              <w:t xml:space="preserve">Facts</w:t>
            </w:r>
          </w:p>
        </w:tc>
        <w:tc>
          <w:tcPr>
            <w:tcW w:w="4920" w:type="dxa"/>
          </w:tcPr>
          <w:p>
            <w:pPr/>
            <w:r>
              <w:t xml:space="preserve">fact_sessions, fact_events</w:t>
            </w:r>
          </w:p>
        </w:tc>
        <w:tc>
          <w:tcPr>
            <w:tcW w:w="2970" w:type="dxa"/>
          </w:tcPr>
          <w:p>
            <w:pPr/>
            <w:r>
              <w:t xml:space="preserve">One row per session and one row per event</w:t>
            </w:r>
          </w:p>
        </w:tc>
      </w:tr>
      <w:tr>
        <w:tc>
          <w:tcPr>
            <w:tcW w:w="1470" w:type="dxa"/>
          </w:tcPr>
          <w:p>
            <w:pPr/>
            <w:r>
              <w:t xml:space="preserve">Dimensions</w:t>
            </w:r>
          </w:p>
        </w:tc>
        <w:tc>
          <w:tcPr>
            <w:tcW w:w="4920" w:type="dxa"/>
          </w:tcPr>
          <w:p>
            <w:pPr/>
            <w:r>
              <w:t xml:space="preserve">dim_date, dim_time, dim_platform, dim_marketing_channel, dim_product, dim_user, dim_event_type</w:t>
            </w:r>
          </w:p>
        </w:tc>
        <w:tc>
          <w:tcPr>
            <w:tcW w:w="2970" w:type="dxa"/>
          </w:tcPr>
          <w:p>
            <w:pPr/>
            <w:r>
              <w:t xml:space="preserve">Descriptive attributes used for slicing</w:t>
            </w:r>
          </w:p>
        </w:tc>
      </w:tr>
      <w:tr>
        <w:tc>
          <w:tcPr>
            <w:tcW w:w="1470" w:type="dxa"/>
          </w:tcPr>
          <w:p>
            <w:pPr/>
            <w:r>
              <w:t xml:space="preserve">Marts</w:t>
            </w:r>
          </w:p>
        </w:tc>
        <w:tc>
          <w:tcPr>
            <w:tcW w:w="4920" w:type="dxa"/>
          </w:tcPr>
          <w:p>
            <w:pPr/>
            <w:r>
              <w:t xml:space="preserve">mart_executive_marketing, mart_funnel_behavior, mart_product_brand_performance</w:t>
            </w:r>
          </w:p>
        </w:tc>
        <w:tc>
          <w:tcPr>
            <w:tcW w:w="2970" w:type="dxa"/>
          </w:tcPr>
          <w:p>
            <w:pPr/>
            <w:r>
              <w:t xml:space="preserve">Pre-aggregated summaries</w:t>
            </w:r>
          </w:p>
        </w:tc>
      </w:tr>
    </w:tbl>
    <w:p>
      <w:pPr>
        <w:pStyle w:val="Heading2"/>
      </w:pPr>
      <w:r>
        <w:t xml:space="preserve">3. Dashboard Pages</w:t>
      </w:r>
    </w:p>
    <w:tbl>
      <w:tblPr>
        <w:tblStyle w:val="TableGrid"/>
        <w:tblW w:w="0" w:type="auto"/>
        <w:tblLayout w:type="fixed"/>
        <w:tblLook w:val="04A0" w:firstRow="1" w:lastRow="0" w:firstColumn="0" w:lastColumn="0" w:noHBand="0" w:noVBand="1"/>
      </w:tblPr>
      <w:tblGrid>
        <w:gridCol w:w="1894"/>
        <w:gridCol w:w="2935"/>
        <w:gridCol w:w="4530"/>
      </w:tblGrid>
      <w:tr>
        <w:trPr>
          <w:tblHeader/>
        </w:trPr>
        <w:tc>
          <w:tcPr>
            <w:tcW w:w="1894" w:type="dxa"/>
            <w:shd w:val="clear" w:color="auto" w:fill="F2F2F2"/>
          </w:tcPr>
          <w:p>
            <w:pPr/>
            <w:r>
              <w:t xml:space="preserve">Page</w:t>
            </w:r>
          </w:p>
        </w:tc>
        <w:tc>
          <w:tcPr>
            <w:tcW w:w="2935" w:type="dxa"/>
            <w:shd w:val="clear" w:color="auto" w:fill="F2F2F2"/>
          </w:tcPr>
          <w:p>
            <w:pPr/>
            <w:r>
              <w:t xml:space="preserve">Business question</w:t>
            </w:r>
          </w:p>
        </w:tc>
        <w:tc>
          <w:tcPr>
            <w:tcW w:w="4530" w:type="dxa"/>
            <w:shd w:val="clear" w:color="auto" w:fill="F2F2F2"/>
          </w:tcPr>
          <w:p>
            <w:pPr/>
            <w:r>
              <w:t xml:space="preserve">Main visuals</w:t>
            </w:r>
          </w:p>
        </w:tc>
      </w:tr>
      <w:tr>
        <w:tc>
          <w:tcPr>
            <w:tcW w:w="1894" w:type="dxa"/>
          </w:tcPr>
          <w:p>
            <w:pPr/>
            <w:r>
              <w:t xml:space="preserve">Executive Overview</w:t>
            </w:r>
          </w:p>
        </w:tc>
        <w:tc>
          <w:tcPr>
            <w:tcW w:w="2935" w:type="dxa"/>
          </w:tcPr>
          <w:p>
            <w:pPr/>
            <w:r>
              <w:t xml:space="preserve">How is the business performing overall?</w:t>
            </w:r>
          </w:p>
        </w:tc>
        <w:tc>
          <w:tcPr>
            <w:tcW w:w="4530" w:type="dxa"/>
          </w:tcPr>
          <w:p>
            <w:pPr/>
            <w:r>
              <w:t xml:space="preserve">KPI cards, revenue by day, by platform, by channel, by brand, by day of week</w:t>
            </w:r>
          </w:p>
        </w:tc>
      </w:tr>
      <w:tr>
        <w:tc>
          <w:tcPr>
            <w:tcW w:w="1894" w:type="dxa"/>
          </w:tcPr>
          <w:p>
            <w:pPr/>
            <w:r>
              <w:t xml:space="preserve">Marketing Channels and Platform</w:t>
            </w:r>
          </w:p>
        </w:tc>
        <w:tc>
          <w:tcPr>
            <w:tcW w:w="2935" w:type="dxa"/>
          </w:tcPr>
          <w:p>
            <w:pPr/>
            <w:r>
              <w:t xml:space="preserve">Which channels and platforms perform best?</w:t>
            </w:r>
          </w:p>
        </w:tc>
        <w:tc>
          <w:tcPr>
            <w:tcW w:w="4530" w:type="dxa"/>
          </w:tcPr>
          <w:p>
            <w:pPr/>
            <w:r>
              <w:t xml:space="preserve">Top and best-converting channel cards, AOV, revenue by channel and platform</w:t>
            </w:r>
          </w:p>
        </w:tc>
      </w:tr>
      <w:tr>
        <w:tc>
          <w:tcPr>
            <w:tcW w:w="1894" w:type="dxa"/>
          </w:tcPr>
          <w:p>
            <w:pPr/>
            <w:r>
              <w:t xml:space="preserve">Funnel and Product Performance</w:t>
            </w:r>
          </w:p>
        </w:tc>
        <w:tc>
          <w:tcPr>
            <w:tcW w:w="2935" w:type="dxa"/>
          </w:tcPr>
          <w:p>
            <w:pPr/>
            <w:r>
              <w:t xml:space="preserve">Where do we lose shoppers, and what sells?</w:t>
            </w:r>
          </w:p>
        </w:tc>
        <w:tc>
          <w:tcPr>
            <w:tcW w:w="4530" w:type="dxa"/>
          </w:tcPr>
          <w:p>
            <w:pPr/>
            <w:r>
              <w:t xml:space="preserve">Purchase funnel, funnel rate cards, top brands, revenue by category</w:t>
            </w:r>
          </w:p>
        </w:tc>
      </w:tr>
    </w:tbl>
    <w:p>
      <w:pPr/>
      <w:r>
        <w:t xml:space="preserve">A cover page and a left navigation sidebar (page navigator, Platform filter, Channel filter, Last Updated) tie the pages together, with a dark and light theme.</w:t>
      </w:r>
    </w:p>
    <w:p>
      <w:pPr>
        <w:pStyle w:val="Heading2"/>
      </w:pPr>
      <w:r>
        <w:t xml:space="preserve">4. KPI Dictionary</w:t>
      </w:r>
    </w:p>
    <w:p>
      <w:pPr>
        <w:pStyle w:val="Heading3"/>
      </w:pPr>
      <w:r>
        <w:t xml:space="preserve">4.1 Executive Overview</w:t>
      </w:r>
    </w:p>
    <w:tbl>
      <w:tblPr>
        <w:tblStyle w:val="TableGrid"/>
        <w:tblW w:w="0" w:type="auto"/>
        <w:tblLayout w:type="fixed"/>
        <w:tblLook w:val="04A0" w:firstRow="1" w:lastRow="0" w:firstColumn="0" w:lastColumn="0" w:noHBand="0" w:noVBand="1"/>
      </w:tblPr>
      <w:tblGrid>
        <w:gridCol w:w="2174"/>
        <w:gridCol w:w="3306"/>
        <w:gridCol w:w="2259"/>
        <w:gridCol w:w="1621"/>
      </w:tblGrid>
      <w:tr>
        <w:trPr>
          <w:tblHeader/>
        </w:trPr>
        <w:tc>
          <w:tcPr>
            <w:tcW w:w="2174" w:type="dxa"/>
            <w:shd w:val="clear" w:color="auto" w:fill="F2F2F2"/>
          </w:tcPr>
          <w:p>
            <w:pPr/>
            <w:r>
              <w:t xml:space="preserve">KPI</w:t>
            </w:r>
          </w:p>
        </w:tc>
        <w:tc>
          <w:tcPr>
            <w:tcW w:w="3306" w:type="dxa"/>
            <w:shd w:val="clear" w:color="auto" w:fill="F2F2F2"/>
          </w:tcPr>
          <w:p>
            <w:pPr/>
            <w:r>
              <w:t xml:space="preserve">Definition</w:t>
            </w:r>
          </w:p>
        </w:tc>
        <w:tc>
          <w:tcPr>
            <w:tcW w:w="2259" w:type="dxa"/>
            <w:shd w:val="clear" w:color="auto" w:fill="F2F2F2"/>
          </w:tcPr>
          <w:p>
            <w:pPr/>
            <w:r>
              <w:t xml:space="preserve">Formula</w:t>
            </w:r>
          </w:p>
        </w:tc>
        <w:tc>
          <w:tcPr>
            <w:tcW w:w="1621" w:type="dxa"/>
            <w:shd w:val="clear" w:color="auto" w:fill="F2F2F2"/>
          </w:tcPr>
          <w:p>
            <w:pPr/>
            <w:r>
              <w:t xml:space="preserve">Current value</w:t>
            </w:r>
          </w:p>
        </w:tc>
      </w:tr>
      <w:tr>
        <w:tc>
          <w:tcPr>
            <w:tcW w:w="2174" w:type="dxa"/>
          </w:tcPr>
          <w:p>
            <w:pPr/>
            <w:r>
              <w:t xml:space="preserve">Total Revenue</w:t>
            </w:r>
          </w:p>
        </w:tc>
        <w:tc>
          <w:tcPr>
            <w:tcW w:w="3306" w:type="dxa"/>
          </w:tcPr>
          <w:p>
            <w:pPr/>
            <w:r>
              <w:t xml:space="preserve">Money earned from purchases</w:t>
            </w:r>
          </w:p>
        </w:tc>
        <w:tc>
          <w:tcPr>
            <w:tcW w:w="2259" w:type="dxa"/>
          </w:tcPr>
          <w:p>
            <w:pPr/>
            <w:r>
              <w:t xml:space="preserve">Sum of revenue</w:t>
            </w:r>
          </w:p>
        </w:tc>
        <w:tc>
          <w:tcPr>
            <w:tcW w:w="1621" w:type="dxa"/>
          </w:tcPr>
          <w:p>
            <w:pPr/>
            <w:r>
              <w:t xml:space="preserve">61.4M</w:t>
            </w:r>
          </w:p>
        </w:tc>
      </w:tr>
      <w:tr>
        <w:tc>
          <w:tcPr>
            <w:tcW w:w="2174" w:type="dxa"/>
          </w:tcPr>
          <w:p>
            <w:pPr/>
            <w:r>
              <w:t xml:space="preserve">Total Orders</w:t>
            </w:r>
          </w:p>
        </w:tc>
        <w:tc>
          <w:tcPr>
            <w:tcW w:w="3306" w:type="dxa"/>
          </w:tcPr>
          <w:p>
            <w:pPr/>
            <w:r>
              <w:t xml:space="preserve">Number of completed orders</w:t>
            </w:r>
          </w:p>
        </w:tc>
        <w:tc>
          <w:tcPr>
            <w:tcW w:w="2259" w:type="dxa"/>
          </w:tcPr>
          <w:p>
            <w:pPr/>
            <w:r>
              <w:t xml:space="preserve">Count of orders</w:t>
            </w:r>
          </w:p>
        </w:tc>
        <w:tc>
          <w:tcPr>
            <w:tcW w:w="1621" w:type="dxa"/>
          </w:tcPr>
          <w:p>
            <w:pPr/>
            <w:r>
              <w:t xml:space="preserve">195K</w:t>
            </w:r>
          </w:p>
        </w:tc>
      </w:tr>
      <w:tr>
        <w:tc>
          <w:tcPr>
            <w:tcW w:w="2174" w:type="dxa"/>
          </w:tcPr>
          <w:p>
            <w:pPr/>
            <w:r>
              <w:t xml:space="preserve">Total Sessions</w:t>
            </w:r>
          </w:p>
        </w:tc>
        <w:tc>
          <w:tcPr>
            <w:tcW w:w="3306" w:type="dxa"/>
          </w:tcPr>
          <w:p>
            <w:pPr/>
            <w:r>
              <w:t xml:space="preserve">Number of visits</w:t>
            </w:r>
          </w:p>
        </w:tc>
        <w:tc>
          <w:tcPr>
            <w:tcW w:w="2259" w:type="dxa"/>
          </w:tcPr>
          <w:p>
            <w:pPr/>
            <w:r>
              <w:t xml:space="preserve">Count of sessions</w:t>
            </w:r>
          </w:p>
        </w:tc>
        <w:tc>
          <w:tcPr>
            <w:tcW w:w="1621" w:type="dxa"/>
          </w:tcPr>
          <w:p>
            <w:pPr/>
            <w:r>
              <w:t xml:space="preserve">about 1.88M</w:t>
            </w:r>
          </w:p>
        </w:tc>
      </w:tr>
      <w:tr>
        <w:tc>
          <w:tcPr>
            <w:tcW w:w="2174" w:type="dxa"/>
          </w:tcPr>
          <w:p>
            <w:pPr/>
            <w:r>
              <w:t xml:space="preserve">Conversion Rate</w:t>
            </w:r>
          </w:p>
        </w:tc>
        <w:tc>
          <w:tcPr>
            <w:tcW w:w="3306" w:type="dxa"/>
          </w:tcPr>
          <w:p>
            <w:pPr/>
            <w:r>
              <w:t xml:space="preserve">Share of sessions that end in an order</w:t>
            </w:r>
          </w:p>
        </w:tc>
        <w:tc>
          <w:tcPr>
            <w:tcW w:w="2259" w:type="dxa"/>
          </w:tcPr>
          <w:p>
            <w:pPr/>
            <w:r>
              <w:t xml:space="preserve">Orders / Sessions</w:t>
            </w:r>
          </w:p>
        </w:tc>
        <w:tc>
          <w:tcPr>
            <w:tcW w:w="1621" w:type="dxa"/>
          </w:tcPr>
          <w:p>
            <w:pPr/>
            <w:r>
              <w:t xml:space="preserve">10.4%</w:t>
            </w:r>
          </w:p>
        </w:tc>
      </w:tr>
      <w:tr>
        <w:tc>
          <w:tcPr>
            <w:tcW w:w="2174" w:type="dxa"/>
          </w:tcPr>
          <w:p>
            <w:pPr/>
            <w:r>
              <w:t xml:space="preserve">AOV (Average Order Value)</w:t>
            </w:r>
          </w:p>
        </w:tc>
        <w:tc>
          <w:tcPr>
            <w:tcW w:w="3306" w:type="dxa"/>
          </w:tcPr>
          <w:p>
            <w:pPr/>
            <w:r>
              <w:t xml:space="preserve">Average spend per order</w:t>
            </w:r>
          </w:p>
        </w:tc>
        <w:tc>
          <w:tcPr>
            <w:tcW w:w="2259" w:type="dxa"/>
          </w:tcPr>
          <w:p>
            <w:pPr/>
            <w:r>
              <w:t xml:space="preserve">Revenue / Orders</w:t>
            </w:r>
          </w:p>
        </w:tc>
        <w:tc>
          <w:tcPr>
            <w:tcW w:w="1621" w:type="dxa"/>
          </w:tcPr>
          <w:p>
            <w:pPr/>
            <w:r>
              <w:t xml:space="preserve">about 315.53</w:t>
            </w:r>
          </w:p>
        </w:tc>
      </w:tr>
      <w:tr>
        <w:tc>
          <w:tcPr>
            <w:tcW w:w="2174" w:type="dxa"/>
          </w:tcPr>
          <w:p>
            <w:pPr/>
            <w:r>
              <w:t xml:space="preserve">New vs Returning Sessions</w:t>
            </w:r>
          </w:p>
        </w:tc>
        <w:tc>
          <w:tcPr>
            <w:tcW w:w="3306" w:type="dxa"/>
          </w:tcPr>
          <w:p>
            <w:pPr/>
            <w:r>
              <w:t xml:space="preserve">Share of first-time versus repeat visits</w:t>
            </w:r>
          </w:p>
        </w:tc>
        <w:tc>
          <w:tcPr>
            <w:tcW w:w="2259" w:type="dxa"/>
          </w:tcPr>
          <w:p>
            <w:pPr/>
            <w:r>
              <w:t xml:space="preserve">First-session flag / Sessions</w:t>
            </w:r>
          </w:p>
        </w:tc>
        <w:tc>
          <w:tcPr>
            <w:tcW w:w="1621" w:type="dxa"/>
          </w:tcPr>
          <w:p>
            <w:pPr/>
            <w:r>
              <w:t xml:space="preserve">Donut chart</w:t>
            </w:r>
          </w:p>
        </w:tc>
      </w:tr>
    </w:tbl>
    <w:p>
      <w:pPr>
        <w:pStyle w:val="Heading3"/>
      </w:pPr>
      <w:r>
        <w:t xml:space="preserve">4.2 Marketing Channels and Platform</w:t>
      </w:r>
    </w:p>
    <w:tbl>
      <w:tblPr>
        <w:tblStyle w:val="TableGrid"/>
        <w:tblW w:w="0" w:type="auto"/>
        <w:tblLayout w:type="fixed"/>
        <w:tblLook w:val="04A0" w:firstRow="1" w:lastRow="0" w:firstColumn="0" w:lastColumn="0" w:noHBand="0" w:noVBand="1"/>
      </w:tblPr>
      <w:tblGrid>
        <w:gridCol w:w="2807"/>
        <w:gridCol w:w="3792"/>
        <w:gridCol w:w="2761"/>
      </w:tblGrid>
      <w:tr>
        <w:trPr>
          <w:tblHeader/>
        </w:trPr>
        <w:tc>
          <w:tcPr>
            <w:tcW w:w="2807" w:type="dxa"/>
            <w:shd w:val="clear" w:color="auto" w:fill="F2F2F2"/>
          </w:tcPr>
          <w:p>
            <w:pPr/>
            <w:r>
              <w:t xml:space="preserve">KPI</w:t>
            </w:r>
          </w:p>
        </w:tc>
        <w:tc>
          <w:tcPr>
            <w:tcW w:w="3792" w:type="dxa"/>
            <w:shd w:val="clear" w:color="auto" w:fill="F2F2F2"/>
          </w:tcPr>
          <w:p>
            <w:pPr/>
            <w:r>
              <w:t xml:space="preserve">Definition</w:t>
            </w:r>
          </w:p>
        </w:tc>
        <w:tc>
          <w:tcPr>
            <w:tcW w:w="2761" w:type="dxa"/>
            <w:shd w:val="clear" w:color="auto" w:fill="F2F2F2"/>
          </w:tcPr>
          <w:p>
            <w:pPr/>
            <w:r>
              <w:t xml:space="preserve">Notes</w:t>
            </w:r>
          </w:p>
        </w:tc>
      </w:tr>
      <w:tr>
        <w:tc>
          <w:tcPr>
            <w:tcW w:w="2807" w:type="dxa"/>
          </w:tcPr>
          <w:p>
            <w:pPr/>
            <w:r>
              <w:t xml:space="preserve">Revenue by Channel</w:t>
            </w:r>
          </w:p>
        </w:tc>
        <w:tc>
          <w:tcPr>
            <w:tcW w:w="3792" w:type="dxa"/>
          </w:tcPr>
          <w:p>
            <w:pPr/>
            <w:r>
              <w:t xml:space="preserve">Revenue attributed to each marketing channel</w:t>
            </w:r>
          </w:p>
        </w:tc>
        <w:tc>
          <w:tcPr>
            <w:tcW w:w="2761" w:type="dxa"/>
          </w:tcPr>
          <w:p>
            <w:pPr/>
            <w:r>
              <w:t xml:space="preserve">Seasonal promotion is the largest at about 22%</w:t>
            </w:r>
          </w:p>
        </w:tc>
      </w:tr>
      <w:tr>
        <w:tc>
          <w:tcPr>
            <w:tcW w:w="2807" w:type="dxa"/>
          </w:tcPr>
          <w:p>
            <w:pPr/>
            <w:r>
              <w:t xml:space="preserve">Revenue by Platform</w:t>
            </w:r>
          </w:p>
        </w:tc>
        <w:tc>
          <w:tcPr>
            <w:tcW w:w="3792" w:type="dxa"/>
          </w:tcPr>
          <w:p>
            <w:pPr/>
            <w:r>
              <w:t xml:space="preserve">Revenue split between web and mobile</w:t>
            </w:r>
          </w:p>
        </w:tc>
        <w:tc>
          <w:tcPr>
            <w:tcW w:w="2761" w:type="dxa"/>
          </w:tcPr>
          <w:p>
            <w:pPr/>
            <w:r>
              <w:t xml:space="preserve">Roughly balanced</w:t>
            </w:r>
          </w:p>
        </w:tc>
      </w:tr>
      <w:tr>
        <w:tc>
          <w:tcPr>
            <w:tcW w:w="2807" w:type="dxa"/>
          </w:tcPr>
          <w:p>
            <w:pPr/>
            <w:r>
              <w:t xml:space="preserve">Top Channel</w:t>
            </w:r>
          </w:p>
        </w:tc>
        <w:tc>
          <w:tcPr>
            <w:tcW w:w="3792" w:type="dxa"/>
          </w:tcPr>
          <w:p>
            <w:pPr/>
            <w:r>
              <w:t xml:space="preserve">Channel with the highest revenue</w:t>
            </w:r>
          </w:p>
        </w:tc>
        <w:tc>
          <w:tcPr>
            <w:tcW w:w="2761" w:type="dxa"/>
          </w:tcPr>
          <w:p>
            <w:pPr/>
            <w:r>
              <w:t xml:space="preserve">Seasonal promotion</w:t>
            </w:r>
          </w:p>
        </w:tc>
      </w:tr>
      <w:tr>
        <w:tc>
          <w:tcPr>
            <w:tcW w:w="2807" w:type="dxa"/>
          </w:tcPr>
          <w:p>
            <w:pPr/>
            <w:r>
              <w:t xml:space="preserve">Best Converting Channel</w:t>
            </w:r>
          </w:p>
        </w:tc>
        <w:tc>
          <w:tcPr>
            <w:tcW w:w="3792" w:type="dxa"/>
          </w:tcPr>
          <w:p>
            <w:pPr/>
            <w:r>
              <w:t xml:space="preserve">Channel with the highest purchase rate</w:t>
            </w:r>
          </w:p>
        </w:tc>
        <w:tc>
          <w:tcPr>
            <w:tcW w:w="2761" w:type="dxa"/>
          </w:tcPr>
          <w:p>
            <w:pPr/>
            <w:r>
              <w:t xml:space="preserve">See data quality note in section 7</w:t>
            </w:r>
          </w:p>
        </w:tc>
      </w:tr>
      <w:tr>
        <w:tc>
          <w:tcPr>
            <w:tcW w:w="2807" w:type="dxa"/>
          </w:tcPr>
          <w:p>
            <w:pPr/>
            <w:r>
              <w:t xml:space="preserve">Revenue Share %</w:t>
            </w:r>
          </w:p>
        </w:tc>
        <w:tc>
          <w:tcPr>
            <w:tcW w:w="3792" w:type="dxa"/>
          </w:tcPr>
          <w:p>
            <w:pPr/>
            <w:r>
              <w:t xml:space="preserve">A channel's revenue divided by total revenue</w:t>
            </w:r>
          </w:p>
        </w:tc>
        <w:tc>
          <w:tcPr>
            <w:tcW w:w="2761" w:type="dxa"/>
          </w:tcPr>
          <w:p>
            <w:pPr/>
            <w:r>
              <w:t xml:space="preserve">Used in treemap and donut</w:t>
            </w:r>
          </w:p>
        </w:tc>
      </w:tr>
    </w:tbl>
    <w:p>
      <w:pPr>
        <w:pStyle w:val="Heading3"/>
      </w:pPr>
      <w:r>
        <w:t xml:space="preserve">4.3 Funnel and Product Performance</w:t>
      </w:r>
    </w:p>
    <w:tbl>
      <w:tblPr>
        <w:tblStyle w:val="TableGrid"/>
        <w:tblW w:w="0" w:type="auto"/>
        <w:tblLayout w:type="fixed"/>
        <w:tblLook w:val="04A0" w:firstRow="1" w:lastRow="0" w:firstColumn="0" w:lastColumn="0" w:noHBand="0" w:noVBand="1"/>
      </w:tblPr>
      <w:tblGrid>
        <w:gridCol w:w="2165"/>
        <w:gridCol w:w="3450"/>
        <w:gridCol w:w="2083"/>
        <w:gridCol w:w="1661"/>
      </w:tblGrid>
      <w:tr>
        <w:trPr>
          <w:tblHeader/>
        </w:trPr>
        <w:tc>
          <w:tcPr>
            <w:tcW w:w="2165" w:type="dxa"/>
            <w:shd w:val="clear" w:color="auto" w:fill="F2F2F2"/>
          </w:tcPr>
          <w:p>
            <w:pPr/>
            <w:r>
              <w:t xml:space="preserve">KPI</w:t>
            </w:r>
          </w:p>
        </w:tc>
        <w:tc>
          <w:tcPr>
            <w:tcW w:w="3450" w:type="dxa"/>
            <w:shd w:val="clear" w:color="auto" w:fill="F2F2F2"/>
          </w:tcPr>
          <w:p>
            <w:pPr/>
            <w:r>
              <w:t xml:space="preserve">Definition</w:t>
            </w:r>
          </w:p>
        </w:tc>
        <w:tc>
          <w:tcPr>
            <w:tcW w:w="2083" w:type="dxa"/>
            <w:shd w:val="clear" w:color="auto" w:fill="F2F2F2"/>
          </w:tcPr>
          <w:p>
            <w:pPr/>
            <w:r>
              <w:t xml:space="preserve">Formula</w:t>
            </w:r>
          </w:p>
        </w:tc>
        <w:tc>
          <w:tcPr>
            <w:tcW w:w="1661" w:type="dxa"/>
            <w:shd w:val="clear" w:color="auto" w:fill="F2F2F2"/>
          </w:tcPr>
          <w:p>
            <w:pPr/>
            <w:r>
              <w:t xml:space="preserve">Current value</w:t>
            </w:r>
          </w:p>
        </w:tc>
      </w:tr>
      <w:tr>
        <w:tc>
          <w:tcPr>
            <w:tcW w:w="2165" w:type="dxa"/>
          </w:tcPr>
          <w:p>
            <w:pPr/>
            <w:r>
              <w:t xml:space="preserve">Sessions with View</w:t>
            </w:r>
          </w:p>
        </w:tc>
        <w:tc>
          <w:tcPr>
            <w:tcW w:w="3450" w:type="dxa"/>
          </w:tcPr>
          <w:p>
            <w:pPr/>
            <w:r>
              <w:t xml:space="preserve">Sessions where a product was viewed</w:t>
            </w:r>
          </w:p>
        </w:tc>
        <w:tc>
          <w:tcPr>
            <w:tcW w:w="2083" w:type="dxa"/>
          </w:tcPr>
          <w:p>
            <w:pPr/>
            <w:r>
              <w:t xml:space="preserve">Count</w:t>
            </w:r>
          </w:p>
        </w:tc>
        <w:tc>
          <w:tcPr>
            <w:tcW w:w="1661" w:type="dxa"/>
          </w:tcPr>
          <w:p>
            <w:pPr/>
            <w:r>
              <w:t xml:space="preserve">about 1.88M</w:t>
            </w:r>
          </w:p>
        </w:tc>
      </w:tr>
      <w:tr>
        <w:tc>
          <w:tcPr>
            <w:tcW w:w="2165" w:type="dxa"/>
          </w:tcPr>
          <w:p>
            <w:pPr/>
            <w:r>
              <w:t xml:space="preserve">Sessions with Cart</w:t>
            </w:r>
          </w:p>
        </w:tc>
        <w:tc>
          <w:tcPr>
            <w:tcW w:w="3450" w:type="dxa"/>
          </w:tcPr>
          <w:p>
            <w:pPr/>
            <w:r>
              <w:t xml:space="preserve">Sessions where an item was added to cart</w:t>
            </w:r>
          </w:p>
        </w:tc>
        <w:tc>
          <w:tcPr>
            <w:tcW w:w="2083" w:type="dxa"/>
          </w:tcPr>
          <w:p>
            <w:pPr/>
            <w:r>
              <w:t xml:space="preserve">Count</w:t>
            </w:r>
          </w:p>
        </w:tc>
        <w:tc>
          <w:tcPr>
            <w:tcW w:w="1661" w:type="dxa"/>
          </w:tcPr>
          <w:p>
            <w:pPr/>
            <w:r>
              <w:t xml:space="preserve">about 0.14M</w:t>
            </w:r>
          </w:p>
        </w:tc>
      </w:tr>
      <w:tr>
        <w:tc>
          <w:tcPr>
            <w:tcW w:w="2165" w:type="dxa"/>
          </w:tcPr>
          <w:p>
            <w:pPr/>
            <w:r>
              <w:t xml:space="preserve">Sessions with Purchase</w:t>
            </w:r>
          </w:p>
        </w:tc>
        <w:tc>
          <w:tcPr>
            <w:tcW w:w="3450" w:type="dxa"/>
          </w:tcPr>
          <w:p>
            <w:pPr/>
            <w:r>
              <w:t xml:space="preserve">Sessions that ended in a purchase</w:t>
            </w:r>
          </w:p>
        </w:tc>
        <w:tc>
          <w:tcPr>
            <w:tcW w:w="2083" w:type="dxa"/>
          </w:tcPr>
          <w:p>
            <w:pPr/>
            <w:r>
              <w:t xml:space="preserve">Count</w:t>
            </w:r>
          </w:p>
        </w:tc>
        <w:tc>
          <w:tcPr>
            <w:tcW w:w="1661" w:type="dxa"/>
          </w:tcPr>
          <w:p>
            <w:pPr/>
            <w:r>
              <w:t xml:space="preserve">about 0.13M</w:t>
            </w:r>
          </w:p>
        </w:tc>
      </w:tr>
      <w:tr>
        <w:tc>
          <w:tcPr>
            <w:tcW w:w="2165" w:type="dxa"/>
          </w:tcPr>
          <w:p>
            <w:pPr/>
            <w:r>
              <w:t xml:space="preserve">View to Cart %</w:t>
            </w:r>
          </w:p>
        </w:tc>
        <w:tc>
          <w:tcPr>
            <w:tcW w:w="3450" w:type="dxa"/>
          </w:tcPr>
          <w:p>
            <w:pPr/>
            <w:r>
              <w:t xml:space="preserve">Browsers who add to cart</w:t>
            </w:r>
          </w:p>
        </w:tc>
        <w:tc>
          <w:tcPr>
            <w:tcW w:w="2083" w:type="dxa"/>
          </w:tcPr>
          <w:p>
            <w:pPr/>
            <w:r>
              <w:t xml:space="preserve">Cart sessions / View sessions</w:t>
            </w:r>
          </w:p>
        </w:tc>
        <w:tc>
          <w:tcPr>
            <w:tcW w:w="1661" w:type="dxa"/>
          </w:tcPr>
          <w:p>
            <w:pPr/>
            <w:r>
              <w:t xml:space="preserve">7.5%</w:t>
            </w:r>
          </w:p>
        </w:tc>
      </w:tr>
      <w:tr>
        <w:tc>
          <w:tcPr>
            <w:tcW w:w="2165" w:type="dxa"/>
          </w:tcPr>
          <w:p>
            <w:pPr/>
            <w:r>
              <w:t xml:space="preserve">Cart to Purchase %</w:t>
            </w:r>
          </w:p>
        </w:tc>
        <w:tc>
          <w:tcPr>
            <w:tcW w:w="3450" w:type="dxa"/>
          </w:tcPr>
          <w:p>
            <w:pPr/>
            <w:r>
              <w:t xml:space="preserve">Cart sessions that complete the purchase</w:t>
            </w:r>
          </w:p>
        </w:tc>
        <w:tc>
          <w:tcPr>
            <w:tcW w:w="2083" w:type="dxa"/>
          </w:tcPr>
          <w:p>
            <w:pPr/>
            <w:r>
              <w:t xml:space="preserve">Purchase sessions / Cart sessions</w:t>
            </w:r>
          </w:p>
        </w:tc>
        <w:tc>
          <w:tcPr>
            <w:tcW w:w="1661" w:type="dxa"/>
          </w:tcPr>
          <w:p>
            <w:pPr/>
            <w:r>
              <w:t xml:space="preserve">91.5%</w:t>
            </w:r>
          </w:p>
        </w:tc>
      </w:tr>
      <w:tr>
        <w:tc>
          <w:tcPr>
            <w:tcW w:w="2165" w:type="dxa"/>
          </w:tcPr>
          <w:p>
            <w:pPr/>
            <w:r>
              <w:t xml:space="preserve">Cart Abandonment %</w:t>
            </w:r>
          </w:p>
        </w:tc>
        <w:tc>
          <w:tcPr>
            <w:tcW w:w="3450" w:type="dxa"/>
          </w:tcPr>
          <w:p>
            <w:pPr/>
            <w:r>
              <w:t xml:space="preserve">Cart sessions with no purchase</w:t>
            </w:r>
          </w:p>
        </w:tc>
        <w:tc>
          <w:tcPr>
            <w:tcW w:w="2083" w:type="dxa"/>
          </w:tcPr>
          <w:p>
            <w:pPr/>
            <w:r>
              <w:t xml:space="preserve">1 minus Cart to Purchase</w:t>
            </w:r>
          </w:p>
        </w:tc>
        <w:tc>
          <w:tcPr>
            <w:tcW w:w="1661" w:type="dxa"/>
          </w:tcPr>
          <w:p>
            <w:pPr/>
            <w:r>
              <w:t xml:space="preserve">about 8.5%</w:t>
            </w:r>
          </w:p>
        </w:tc>
      </w:tr>
      <w:tr>
        <w:tc>
          <w:tcPr>
            <w:tcW w:w="2165" w:type="dxa"/>
          </w:tcPr>
          <w:p>
            <w:pPr/>
            <w:r>
              <w:t xml:space="preserve">View to Purchase %</w:t>
            </w:r>
          </w:p>
        </w:tc>
        <w:tc>
          <w:tcPr>
            <w:tcW w:w="3450" w:type="dxa"/>
          </w:tcPr>
          <w:p>
            <w:pPr/>
            <w:r>
              <w:t xml:space="preserve">Overall funnel conversion</w:t>
            </w:r>
          </w:p>
        </w:tc>
        <w:tc>
          <w:tcPr>
            <w:tcW w:w="2083" w:type="dxa"/>
          </w:tcPr>
          <w:p>
            <w:pPr/>
            <w:r>
              <w:t xml:space="preserve">Purchase sessions / View sessions</w:t>
            </w:r>
          </w:p>
        </w:tc>
        <w:tc>
          <w:tcPr>
            <w:tcW w:w="1661" w:type="dxa"/>
          </w:tcPr>
          <w:p>
            <w:pPr/>
            <w:r>
              <w:t xml:space="preserve">6.8%</w:t>
            </w:r>
          </w:p>
        </w:tc>
      </w:tr>
      <w:tr>
        <w:tc>
          <w:tcPr>
            <w:tcW w:w="2165" w:type="dxa"/>
          </w:tcPr>
          <w:p>
            <w:pPr/>
            <w:r>
              <w:t xml:space="preserve">Revenue by Brand and Category</w:t>
            </w:r>
          </w:p>
        </w:tc>
        <w:tc>
          <w:tcPr>
            <w:tcW w:w="3450" w:type="dxa"/>
          </w:tcPr>
          <w:p>
            <w:pPr/>
            <w:r>
              <w:t xml:space="preserve">Revenue per brand and per product category</w:t>
            </w:r>
          </w:p>
        </w:tc>
        <w:tc>
          <w:tcPr>
            <w:tcW w:w="2083" w:type="dxa"/>
          </w:tcPr>
          <w:p>
            <w:pPr/>
            <w:r>
              <w:t xml:space="preserve">Sum of revenue</w:t>
            </w:r>
          </w:p>
        </w:tc>
        <w:tc>
          <w:tcPr>
            <w:tcW w:w="1661" w:type="dxa"/>
          </w:tcPr>
          <w:p>
            <w:pPr/>
            <w:r>
              <w:t xml:space="preserve">See section 5</w:t>
            </w:r>
          </w:p>
        </w:tc>
      </w:tr>
    </w:tbl>
    <w:p>
      <w:pPr>
        <w:pStyle w:val="Heading2"/>
      </w:pPr>
      <w:r>
        <w:t xml:space="preserve">5. What the Data Shows</w:t>
      </w:r>
    </w:p>
    <w:p>
      <w:pPr>
        <w:pStyle w:val="ListParagraph"/>
        <w:numPr>
          <w:ilvl w:val="0"/>
          <w:numId w:val="3"/>
        </w:numPr>
      </w:pPr>
      <w:r>
        <w:rPr>
          <w:b/>
        </w:rPr>
        <w:t xml:space="preserve">The funnel leaks before the cart, not at checkout.</w:t>
      </w:r>
      <w:r>
        <w:t xml:space="preserve"> Only 7.5% of sessions with a product view add something to the cart, but 91.5% of cart sessions end in a purchase.</w:t>
      </w:r>
    </w:p>
    <w:p>
      <w:pPr>
        <w:pStyle w:val="ListParagraph"/>
        <w:numPr>
          <w:ilvl w:val="0"/>
          <w:numId w:val="3"/>
        </w:numPr>
      </w:pPr>
      <w:r>
        <w:rPr>
          <w:b/>
        </w:rPr>
        <w:t xml:space="preserve">One day dominates the week.</w:t>
      </w:r>
      <w:r>
        <w:t xml:space="preserve"> Saturday 5 October brought about 20.9M in revenue, around a third of the weekly total, while other days sat between about 6.2M and 8.6M. The seasonal promotion channel is the largest revenue source (about 13.5M, 22% of revenue), which points to a promotion-driven spike.</w:t>
      </w:r>
    </w:p>
    <w:p>
      <w:pPr>
        <w:pStyle w:val="ListParagraph"/>
        <w:numPr>
          <w:ilvl w:val="0"/>
          <w:numId w:val="3"/>
        </w:numPr>
      </w:pPr>
      <w:r>
        <w:rPr>
          <w:b/>
        </w:rPr>
        <w:t xml:space="preserve">Channels are otherwise evenly matched.</w:t>
      </w:r>
      <w:r>
        <w:t xml:space="preserve"> Besides seasonal promotion, email, referral, paid search, social media, organic search, and direct each contribute roughly 13% of revenue.</w:t>
      </w:r>
    </w:p>
    <w:p>
      <w:pPr>
        <w:pStyle w:val="ListParagraph"/>
        <w:numPr>
          <w:ilvl w:val="0"/>
          <w:numId w:val="3"/>
        </w:numPr>
      </w:pPr>
      <w:r>
        <w:rPr>
          <w:b/>
        </w:rPr>
        <w:t xml:space="preserve">Web and mobile are balanced.</w:t>
      </w:r>
      <w:r>
        <w:t xml:space="preserve"> Revenue is split almost evenly between the two platforms.</w:t>
      </w:r>
    </w:p>
    <w:p>
      <w:pPr>
        <w:pStyle w:val="ListParagraph"/>
        <w:numPr>
          <w:ilvl w:val="0"/>
          <w:numId w:val="3"/>
        </w:numPr>
      </w:pPr>
      <w:r>
        <w:rPr>
          <w:b/>
        </w:rPr>
        <w:t xml:space="preserve">Revenue is concentrated.</w:t>
      </w:r>
      <w:r>
        <w:t xml:space="preserve"> Electronics generates roughly three quarters of total revenue (about 47M of 61M). Among brands, Apple leads clearly (about 30M), followed by Samsung (about 12M) and Xiaomi (about 2M).</w:t>
      </w:r>
    </w:p>
    <w:p>
      <w:pPr>
        <w:pStyle w:val="Heading2"/>
      </w:pPr>
      <w:r>
        <w:t xml:space="preserve">6. Recommendations for the Business</w:t>
      </w:r>
    </w:p>
    <w:p>
      <w:pPr/>
      <w:r>
        <w:t xml:space="preserve">These are ordered by expected impact. Because the sample is one week, treat each as a hypothesis to test rather than a confirmed conclusion.</w:t>
      </w:r>
    </w:p>
    <w:p>
      <w:pPr>
        <w:pStyle w:val="Heading3"/>
      </w:pPr>
      <w:r>
        <w:t xml:space="preserve">Priority 1: Improve the View to Cart step</w:t>
      </w:r>
    </w:p>
    <w:p>
      <w:pPr>
        <w:pStyle w:val="ListParagraph"/>
        <w:numPr>
          <w:ilvl w:val="0"/>
          <w:numId w:val="4"/>
        </w:numPr>
      </w:pPr>
      <w:r>
        <w:t xml:space="preserve">Test clearer prices, shipping information, and stock status on product pages.</w:t>
      </w:r>
    </w:p>
    <w:p>
      <w:pPr>
        <w:pStyle w:val="ListParagraph"/>
        <w:numPr>
          <w:ilvl w:val="0"/>
          <w:numId w:val="4"/>
        </w:numPr>
      </w:pPr>
      <w:r>
        <w:t xml:space="preserve">Add product recommendations and "recently viewed" shortcuts.</w:t>
      </w:r>
    </w:p>
    <w:p>
      <w:pPr>
        <w:pStyle w:val="ListParagraph"/>
        <w:numPr>
          <w:ilvl w:val="0"/>
          <w:numId w:val="4"/>
        </w:numPr>
      </w:pPr>
      <w:r>
        <w:t xml:space="preserve">Review search and category navigation so shoppers reach relevant products faster.</w:t>
      </w:r>
    </w:p>
    <w:p>
      <w:pPr>
        <w:pStyle w:val="ListParagraph"/>
        <w:numPr>
          <w:ilvl w:val="0"/>
          <w:numId w:val="4"/>
        </w:numPr>
      </w:pPr>
      <w:r>
        <w:t xml:space="preserve">Track the weekly change in View to Cart % as the main success measure.</w:t>
      </w:r>
    </w:p>
    <w:p>
      <w:pPr>
        <w:pStyle w:val="Heading3"/>
      </w:pPr>
      <w:r>
        <w:t xml:space="preserve">Priority 2: Plan promotions deliberately</w:t>
      </w:r>
    </w:p>
    <w:p>
      <w:pPr>
        <w:pStyle w:val="ListParagraph"/>
        <w:numPr>
          <w:ilvl w:val="0"/>
          <w:numId w:val="5"/>
        </w:numPr>
      </w:pPr>
      <w:r>
        <w:t xml:space="preserve">The seasonal promotion drove a very large one-day spike. Build a promotion calendar and prepare stock, delivery capacity, and customer support in advance.</w:t>
      </w:r>
    </w:p>
    <w:p>
      <w:pPr>
        <w:pStyle w:val="ListParagraph"/>
        <w:numPr>
          <w:ilvl w:val="0"/>
          <w:numId w:val="5"/>
        </w:numPr>
      </w:pPr>
      <w:r>
        <w:t xml:space="preserve">Measure margin, not only revenue, so that discounts do not erode profit.</w:t>
      </w:r>
    </w:p>
    <w:p>
      <w:pPr>
        <w:pStyle w:val="ListParagraph"/>
        <w:numPr>
          <w:ilvl w:val="0"/>
          <w:numId w:val="5"/>
        </w:numPr>
      </w:pPr>
      <w:r>
        <w:t xml:space="preserve">Watch for customers who learn to wait for promotions, and compare normal-day performance before and after each campaign.</w:t>
      </w:r>
    </w:p>
    <w:p>
      <w:pPr>
        <w:pStyle w:val="Heading3"/>
      </w:pPr>
      <w:r>
        <w:t xml:space="preserve">Priority 3: Reduce revenue concentration</w:t>
      </w:r>
    </w:p>
    <w:p>
      <w:pPr>
        <w:pStyle w:val="ListParagraph"/>
        <w:numPr>
          <w:ilvl w:val="0"/>
          <w:numId w:val="6"/>
        </w:numPr>
      </w:pPr>
      <w:r>
        <w:t xml:space="preserve">Electronics and one brand account for a large share of revenue. Run cross-sell and bundle campaigns that bring buyers into appliances, computers, and other categories.</w:t>
      </w:r>
    </w:p>
    <w:p>
      <w:pPr>
        <w:pStyle w:val="ListParagraph"/>
        <w:numPr>
          <w:ilvl w:val="0"/>
          <w:numId w:val="6"/>
        </w:numPr>
      </w:pPr>
      <w:r>
        <w:t xml:space="preserve">Check supplier and stock risk for the top brand.</w:t>
      </w:r>
    </w:p>
    <w:p>
      <w:pPr>
        <w:pStyle w:val="Heading3"/>
      </w:pPr>
      <w:r>
        <w:t xml:space="preserve">Priority 4: Recover abandoned carts</w:t>
      </w:r>
    </w:p>
    <w:p>
      <w:pPr>
        <w:pStyle w:val="ListParagraph"/>
        <w:numPr>
          <w:ilvl w:val="0"/>
          <w:numId w:val="7"/>
        </w:numPr>
      </w:pPr>
      <w:r>
        <w:t xml:space="preserve">Even with a low abandonment rate, abandoned carts represent direct lost revenue. Use reminder emails or push notifications within 24 hours.</w:t>
      </w:r>
    </w:p>
    <w:p>
      <w:pPr>
        <w:pStyle w:val="ListParagraph"/>
        <w:numPr>
          <w:ilvl w:val="0"/>
          <w:numId w:val="7"/>
        </w:numPr>
      </w:pPr>
      <w:r>
        <w:t xml:space="preserve">Segment the reminders by platform, since web and mobile shoppers behave differently.</w:t>
      </w:r>
    </w:p>
    <w:p>
      <w:pPr>
        <w:pStyle w:val="Heading3"/>
      </w:pPr>
      <w:r>
        <w:t xml:space="preserve">Priority 5: Measure marketing efficiency</w:t>
      </w:r>
    </w:p>
    <w:p>
      <w:pPr>
        <w:pStyle w:val="ListParagraph"/>
        <w:numPr>
          <w:ilvl w:val="0"/>
          <w:numId w:val="8"/>
        </w:numPr>
      </w:pPr>
      <w:r>
        <w:t xml:space="preserve">The dashboard shows revenue by channel but not cost. Capture ad spend per channel so that ROAS and customer acquisition cost can be calculated.</w:t>
      </w:r>
    </w:p>
    <w:p>
      <w:pPr>
        <w:pStyle w:val="ListParagraph"/>
        <w:numPr>
          <w:ilvl w:val="0"/>
          <w:numId w:val="8"/>
        </w:numPr>
      </w:pPr>
      <w:r>
        <w:t xml:space="preserve">Reduce the "unknown" channel by enforcing consistent campaign tagging (UTM parameters).</w:t>
      </w:r>
    </w:p>
    <w:p>
      <w:pPr>
        <w:pStyle w:val="Heading3"/>
      </w:pPr>
      <w:r>
        <w:t xml:space="preserve">Priority 6: Keep the experience consistent across devices</w:t>
      </w:r>
    </w:p>
    <w:p>
      <w:pPr>
        <w:pStyle w:val="ListParagraph"/>
        <w:numPr>
          <w:ilvl w:val="0"/>
          <w:numId w:val="9"/>
        </w:numPr>
      </w:pPr>
      <w:r>
        <w:t xml:space="preserve">Because web and mobile each bring about half of revenue, compare their funnel rates regularly and fix gaps on the weaker platform.</w:t>
      </w:r>
    </w:p>
    <w:p>
      <w:pPr>
        <w:pStyle w:val="Heading2"/>
      </w:pPr>
      <w:r>
        <w:t xml:space="preserve">7. Data Quality Notes and Open Items</w:t>
      </w:r>
    </w:p>
    <w:p>
      <w:pPr/>
      <w:r>
        <w:t xml:space="preserve">These items should be resolved before the dashboard is shared widely.</w:t>
      </w:r>
    </w:p>
    <w:p>
      <w:pPr>
        <w:pStyle w:val="ListParagraph"/>
        <w:numPr>
          <w:ilvl w:val="0"/>
          <w:numId w:val="10"/>
        </w:numPr>
      </w:pPr>
      <w:r>
        <w:rPr>
          <w:b/>
        </w:rPr>
        <w:t xml:space="preserve">Channel-level session metrics:</w:t>
      </w:r>
      <w:r>
        <w:t xml:space="preserve"> conversion, abandonment, and cart counts by channel currently show identical values across channels. The likely cause is that the relationship between the sessions table and the channel dimension is missing or inactive in the semantic model. Revenue by channel works correctly. Until the relationship is fixed, avoid drawing conclusions from the "Best Converting Channel" card or channel-level funnel charts.</w:t>
      </w:r>
    </w:p>
    <w:p>
      <w:pPr>
        <w:pStyle w:val="ListParagraph"/>
        <w:numPr>
          <w:ilvl w:val="0"/>
          <w:numId w:val="10"/>
        </w:numPr>
      </w:pPr>
      <w:r>
        <w:rPr>
          <w:b/>
        </w:rPr>
        <w:t xml:space="preserve">Cart abandonment definition:</w:t>
      </w:r>
      <w:r>
        <w:t xml:space="preserve"> one earlier measure showed about 44% while the funnel rates imply about 8.5%. The team should agree on a single definition (sessions versus events) and retire the other measure.</w:t>
      </w:r>
    </w:p>
    <w:p>
      <w:pPr>
        <w:pStyle w:val="ListParagraph"/>
        <w:numPr>
          <w:ilvl w:val="0"/>
          <w:numId w:val="10"/>
        </w:numPr>
      </w:pPr>
      <w:r>
        <w:rPr>
          <w:b/>
        </w:rPr>
        <w:t xml:space="preserve">Conversion definitions:</w:t>
      </w:r>
      <w:r>
        <w:t xml:space="preserve"> Conversion Rate (10.4%, orders divided by sessions) and View to Purchase (6.8%, purchase sessions divided by view sessions) answer different questions. Label them clearly on the dashboard.</w:t>
      </w:r>
    </w:p>
    <w:p>
      <w:pPr>
        <w:pStyle w:val="ListParagraph"/>
        <w:numPr>
          <w:ilvl w:val="0"/>
          <w:numId w:val="10"/>
        </w:numPr>
      </w:pPr>
      <w:r>
        <w:rPr>
          <w:b/>
        </w:rPr>
        <w:t xml:space="preserve">Unknown and blank values:</w:t>
      </w:r>
      <w:r>
        <w:t xml:space="preserve"> some sessions have an unknown or blank channel or platform. These are filtered out of charts, but the root cause should be fixed upstream.</w:t>
      </w:r>
    </w:p>
    <w:p>
      <w:pPr>
        <w:pStyle w:val="ListParagraph"/>
        <w:numPr>
          <w:ilvl w:val="0"/>
          <w:numId w:val="10"/>
        </w:numPr>
      </w:pPr>
      <w:r>
        <w:rPr>
          <w:b/>
        </w:rPr>
        <w:t xml:space="preserve">Date coverage:</w:t>
      </w:r>
      <w:r>
        <w:t xml:space="preserve"> the date table contains a day with no data (8 October) and the sample covers about one week. Day-over-day comparisons work, month-over-month comparisons do not yet.</w:t>
      </w:r>
    </w:p>
    <w:p>
      <w:pPr>
        <w:pStyle w:val="ListParagraph"/>
        <w:numPr>
          <w:ilvl w:val="0"/>
          <w:numId w:val="10"/>
        </w:numPr>
      </w:pPr>
      <w:r>
        <w:rPr>
          <w:b/>
        </w:rPr>
        <w:t xml:space="preserve">Revenue column in sessions:</w:t>
      </w:r>
      <w:r>
        <w:t xml:space="preserve"> the session-level revenue column appeared empty, so revenue measures rely on other fields. Confirm with the data engineering team how session revenue is populated.</w:t>
      </w:r>
    </w:p>
    <w:p>
      <w:pPr>
        <w:pStyle w:val="Heading2"/>
      </w:pPr>
      <w:r>
        <w:t xml:space="preserve">8. Suggested Next Steps</w:t>
      </w:r>
    </w:p>
    <w:p>
      <w:pPr>
        <w:pStyle w:val="ListParagraph"/>
        <w:numPr>
          <w:ilvl w:val="0"/>
          <w:numId w:val="11"/>
        </w:numPr>
      </w:pPr>
      <w:r>
        <w:t xml:space="preserve">Fix the channel relationship and the abandonment definition in the semantic model.</w:t>
      </w:r>
    </w:p>
    <w:p>
      <w:pPr>
        <w:pStyle w:val="ListParagraph"/>
        <w:numPr>
          <w:ilvl w:val="0"/>
          <w:numId w:val="11"/>
        </w:numPr>
      </w:pPr>
      <w:r>
        <w:t xml:space="preserve">Load more history so that weekly and monthly trends become reliable.</w:t>
      </w:r>
    </w:p>
    <w:p>
      <w:pPr>
        <w:pStyle w:val="ListParagraph"/>
        <w:numPr>
          <w:ilvl w:val="0"/>
          <w:numId w:val="11"/>
        </w:numPr>
      </w:pPr>
      <w:r>
        <w:t xml:space="preserve">Add the Session Behavior page (sessions by hour, bot share, session duration) and a Data Quality page (ingestion delay, late events).</w:t>
      </w:r>
    </w:p>
    <w:p>
      <w:pPr>
        <w:pStyle w:val="ListParagraph"/>
        <w:numPr>
          <w:ilvl w:val="0"/>
          <w:numId w:val="11"/>
        </w:numPr>
      </w:pPr>
      <w:r>
        <w:t xml:space="preserve">Capture marketing cost data to unlock ROAS and CAC.</w:t>
      </w:r>
    </w:p>
    <w:p>
      <w:pPr>
        <w:pStyle w:val="ListParagraph"/>
        <w:numPr>
          <w:ilvl w:val="0"/>
          <w:numId w:val="11"/>
        </w:numPr>
      </w:pPr>
      <w:r>
        <w:t xml:space="preserve">Review the dashboard with business stakeholders and agree on KPI targets for View to Cart %, Cart to Purchase %, and AOV.</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E-Commerce Intelligence Business Overview, KPI Guide and Recommendations</dc:title>
  <dc:description>Claude Docs node/944b8df7-bafd@1 docx-w7</dc:description>
  <cp:revision>1</cp:revision>
</cp:coreProperties>
</file>