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TerraGlow Skincare: Risk Mitigation Strategy</w:t>
      </w:r>
    </w:p>
    <w:p>
      <w:r>
        <w:t>This document outlines the potential risks associated with the launch and operation of TerraGlow Skincare, along with specific, actionable mitigation strategies to ensure project success.</w:t>
      </w:r>
    </w:p>
    <w:p>
      <w:pPr>
        <w:pStyle w:val="Heading1"/>
      </w:pPr>
      <w:r>
        <w:t>1. Supply Chain &amp; Packaging Risks</w:t>
      </w:r>
    </w:p>
    <w:p>
      <w:pPr>
        <w:pStyle w:val="Heading2"/>
      </w:pPr>
      <w:r>
        <w:t>Risk: Zero-Waste Packaging Delays or Shortages</w:t>
      </w:r>
    </w:p>
    <w:p>
      <w:pPr>
        <w:pStyle w:val="ListBullet"/>
      </w:pPr>
      <w:r>
        <w:t>Because TerraGlow relies exclusively on 100% recyclable, zero-waste packaging, any disruption with the primary supplier could halt production or force the brand to compromise its core sustainability values.</w:t>
      </w:r>
    </w:p>
    <w:p>
      <w:pPr>
        <w:pStyle w:val="Heading3"/>
      </w:pPr>
      <w:r>
        <w:t>Mitigation:</w:t>
      </w:r>
    </w:p>
    <w:p>
      <w:pPr>
        <w:pStyle w:val="ListBullet"/>
      </w:pPr>
      <w:r>
        <w:t>Identify and vet at least two secondary eco-friendly packaging suppliers during Phase 2 (Sourcing). Negotiate backup contracts and maintain a buffer stock of packaging materials equivalent to one month of projected sales.</w:t>
      </w:r>
    </w:p>
    <w:p>
      <w:pPr>
        <w:pStyle w:val="Heading1"/>
      </w:pPr>
      <w:r>
        <w:t>2. Formulation &amp; Product Quality</w:t>
      </w:r>
    </w:p>
    <w:p>
      <w:pPr>
        <w:pStyle w:val="Heading2"/>
      </w:pPr>
      <w:r>
        <w:t>Risk: Instability of Chemical-Free Ingredients</w:t>
      </w:r>
    </w:p>
    <w:p>
      <w:pPr>
        <w:pStyle w:val="ListBullet"/>
      </w:pPr>
      <w:r>
        <w:t>Natural, chemical-free skincare products lack harsh synthetic preservatives, which can sometimes lead to a shorter shelf life, product separation, or spoilage if exposed to extreme temperatures during shipping.</w:t>
      </w:r>
    </w:p>
    <w:p>
      <w:pPr>
        <w:pStyle w:val="Heading3"/>
      </w:pPr>
      <w:r>
        <w:t>Mitigation:</w:t>
      </w:r>
    </w:p>
    <w:p>
      <w:pPr>
        <w:pStyle w:val="ListBullet"/>
      </w:pPr>
      <w:r>
        <w:t>Conduct rigorous stress testing (temperature and time) during R&amp;D. Utilize natural, plant-derived preservatives (like Vitamin E or Rosemary Extract). Clearly communicate the 'best by' date to customers to manage expectations.</w:t>
      </w:r>
    </w:p>
    <w:p>
      <w:pPr>
        <w:pStyle w:val="Heading1"/>
      </w:pPr>
      <w:r>
        <w:t>3. Marketing &amp; Market Reception</w:t>
      </w:r>
    </w:p>
    <w:p>
      <w:pPr>
        <w:pStyle w:val="Heading2"/>
      </w:pPr>
      <w:r>
        <w:t>Risk: Low Engagement in the Men's Campaign</w:t>
      </w:r>
    </w:p>
    <w:p>
      <w:pPr>
        <w:pStyle w:val="ListBullet"/>
      </w:pPr>
      <w:r>
        <w:t>Targeting men to break the skincare stigma is a core strategy, but the messaging might miss the mark, resulting in low conversion rates and wasted ad spend on platforms like TikTok.</w:t>
      </w:r>
    </w:p>
    <w:p>
      <w:pPr>
        <w:pStyle w:val="Heading3"/>
      </w:pPr>
      <w:r>
        <w:t>Mitigation:</w:t>
      </w:r>
    </w:p>
    <w:p>
      <w:pPr>
        <w:pStyle w:val="ListBullet"/>
      </w:pPr>
      <w:r>
        <w:t>Implement A/B testing on ad sets to determine which messaging resonates best. Start with a smaller ad budget and scale up based on performance data. Partner with relatable male micro-influencers to build authentic trust rather than relying solely on brand-directed ads.</w:t>
      </w:r>
    </w:p>
    <w:p>
      <w:pPr>
        <w:pStyle w:val="Heading1"/>
      </w:pPr>
      <w:r>
        <w:t>4. Technical &amp; Operational</w:t>
      </w:r>
    </w:p>
    <w:p>
      <w:pPr>
        <w:pStyle w:val="Heading2"/>
      </w:pPr>
      <w:r>
        <w:t>Risk: E-commerce Platform Downtime During Launch</w:t>
      </w:r>
    </w:p>
    <w:p>
      <w:pPr>
        <w:pStyle w:val="ListBullet"/>
      </w:pPr>
      <w:r>
        <w:t>High traffic volumes during the initial campaign launch could crash the website, preventing users from purchasing the 10-minute routine kit.</w:t>
      </w:r>
    </w:p>
    <w:p>
      <w:pPr>
        <w:pStyle w:val="Heading3"/>
      </w:pPr>
      <w:r>
        <w:t>Mitigation:</w:t>
      </w:r>
    </w:p>
    <w:p>
      <w:pPr>
        <w:pStyle w:val="ListBullet"/>
      </w:pPr>
      <w:r>
        <w:t>Ensure the hosting provider guarantees scalable bandwidth. Conduct load testing on the e-commerce platform prior to Phase 6 (Official Launch). Have the IT/Ops team on standby during the first 48 hours of the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