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rPr>
          <w:rFonts w:hint="default" w:ascii="Times New Roman" w:hAnsi="Times New Roman" w:cs="Times New Roman"/>
          <w:sz w:val="24"/>
          <w:szCs w:val="24"/>
        </w:rPr>
      </w:pPr>
      <w:r>
        <w:rPr>
          <w:rFonts w:hint="default" w:ascii="Times New Roman" w:hAnsi="Times New Roman" w:cs="Times New Roman"/>
          <w:b/>
          <w:color w:val="000000"/>
          <w:sz w:val="24"/>
          <w:szCs w:val="24"/>
        </w:rPr>
        <w:t>BSE4104 EMERGING TRENDS IN SOFTWARE ENGINEERING  |  GROUP B – EVENING CLASS</w:t>
      </w:r>
    </w:p>
    <w:p>
      <w:pPr>
        <w:spacing w:after="20"/>
        <w:jc w:val="center"/>
        <w:rPr>
          <w:rFonts w:hint="default" w:ascii="Times New Roman" w:hAnsi="Times New Roman" w:cs="Times New Roman"/>
        </w:rPr>
      </w:pPr>
      <w:r>
        <w:rPr>
          <w:rFonts w:hint="default" w:ascii="Times New Roman" w:hAnsi="Times New Roman" w:cs="Times New Roman"/>
          <w:b/>
          <w:color w:val="000000"/>
          <w:sz w:val="40"/>
        </w:rPr>
        <w:t>WEEK 6 PROGRESS REPORT</w:t>
      </w:r>
    </w:p>
    <w:p>
      <w:pPr>
        <w:spacing w:after="220"/>
        <w:jc w:val="center"/>
        <w:rPr>
          <w:rFonts w:hint="default" w:ascii="Times New Roman" w:hAnsi="Times New Roman" w:cs="Times New Roman"/>
          <w:i w:val="0"/>
          <w:iCs/>
          <w:sz w:val="24"/>
          <w:szCs w:val="24"/>
        </w:rPr>
      </w:pPr>
      <w:r>
        <w:rPr>
          <w:rFonts w:hint="default" w:ascii="Times New Roman" w:hAnsi="Times New Roman" w:cs="Times New Roman"/>
          <w:b w:val="0"/>
          <w:i w:val="0"/>
          <w:iCs/>
          <w:color w:val="000000"/>
          <w:sz w:val="24"/>
          <w:szCs w:val="24"/>
        </w:rPr>
        <w:t>Memory, State and Interoperability  |  5–9 October 2026</w:t>
      </w:r>
    </w:p>
    <w:p>
      <w:pPr>
        <w:pStyle w:val="2"/>
        <w:jc w:val="both"/>
        <w:rPr>
          <w:rFonts w:hint="default" w:ascii="Times New Roman" w:hAnsi="Times New Roman" w:cs="Times New Roman"/>
          <w:sz w:val="28"/>
          <w:szCs w:val="28"/>
        </w:rPr>
      </w:pPr>
      <w:r>
        <w:rPr>
          <w:rFonts w:hint="default" w:ascii="Times New Roman" w:hAnsi="Times New Roman" w:cs="Times New Roman"/>
          <w:color w:val="000000"/>
          <w:sz w:val="28"/>
          <w:szCs w:val="28"/>
        </w:rPr>
        <w:t>1. Objective and weekly summary</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Week 6 focused on making the helpdesk agent’s workflow state explicit, introducing a justified form of persistent case memory, and defining a clear interface for future interoperability. The week’s work extends the bounded agent loop and tool orchestration developed earlier. Deliverables now include a state model, a memory and data-handling note, a memory-enabled prototype with four demonstration scenarios, and an MCP-style interface specification.</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The prototype and design documents establish how the agent should preserve useful case context while keeping identity, authorization and consequential actions under trusted application control. The proposed MCP connection remains a design deliverable and has not been integrated or run.</w:t>
      </w:r>
    </w:p>
    <w:p>
      <w:pPr>
        <w:pStyle w:val="2"/>
        <w:jc w:val="both"/>
        <w:rPr>
          <w:rFonts w:hint="default" w:ascii="Times New Roman" w:hAnsi="Times New Roman" w:cs="Times New Roman"/>
        </w:rPr>
      </w:pPr>
      <w:r>
        <w:rPr>
          <w:rFonts w:hint="default" w:ascii="Times New Roman" w:hAnsi="Times New Roman" w:cs="Times New Roman"/>
          <w:color w:val="000000"/>
          <w:sz w:val="28"/>
          <w:szCs w:val="28"/>
        </w:rPr>
        <w:t>2. Work completed</w:t>
      </w:r>
    </w:p>
    <w:p>
      <w:pPr>
        <w:pStyle w:val="23"/>
        <w:numPr>
          <w:ilvl w:val="0"/>
          <w:numId w:val="7"/>
        </w:numPr>
        <w:tabs>
          <w:tab w:val="clear" w:pos="420"/>
        </w:tabs>
        <w:spacing w:after="8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Workflow state model. </w:t>
      </w:r>
      <w:r>
        <w:rPr>
          <w:rFonts w:hint="default" w:ascii="Times New Roman" w:hAnsi="Times New Roman" w:cs="Times New Roman"/>
          <w:color w:val="000000"/>
          <w:sz w:val="24"/>
          <w:szCs w:val="24"/>
        </w:rPr>
        <w:t>Documented the request lifecycle from classification and retrieval through action selection, approval, tool execution, observation and a terminal outcome. The model identifies each important state field, its source and its control rule. It sets a maximum of four workflow iterations and permits one safe retry per failed call.</w:t>
      </w:r>
    </w:p>
    <w:p>
      <w:pPr>
        <w:pStyle w:val="23"/>
        <w:numPr>
          <w:ilvl w:val="0"/>
          <w:numId w:val="7"/>
        </w:numPr>
        <w:tabs>
          <w:tab w:val="clear" w:pos="420"/>
        </w:tabs>
        <w:spacing w:after="8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Memory design and data handling. </w:t>
      </w:r>
      <w:r>
        <w:rPr>
          <w:rFonts w:hint="default" w:ascii="Times New Roman" w:hAnsi="Times New Roman" w:cs="Times New Roman"/>
          <w:color w:val="000000"/>
          <w:sz w:val="24"/>
          <w:szCs w:val="24"/>
        </w:rPr>
        <w:t>Selected authenticated customer case history as the single persistent-memory use case. The record is limited to a ticket reference, issue category, short summary, status, last action and update time. The note explains why each field is useful and defines access, retention, deletion and minimization rules.</w:t>
      </w:r>
    </w:p>
    <w:p>
      <w:pPr>
        <w:pStyle w:val="23"/>
        <w:numPr>
          <w:ilvl w:val="0"/>
          <w:numId w:val="7"/>
        </w:numPr>
        <w:tabs>
          <w:tab w:val="clear" w:pos="420"/>
        </w:tabs>
        <w:spacing w:after="8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Memory-enabled implementation. </w:t>
      </w:r>
      <w:r>
        <w:rPr>
          <w:rFonts w:hint="default" w:ascii="Times New Roman" w:hAnsi="Times New Roman" w:cs="Times New Roman"/>
          <w:color w:val="000000"/>
          <w:sz w:val="24"/>
          <w:szCs w:val="24"/>
        </w:rPr>
        <w:t>Added a Week 6 controller and in-process MemoryStore. At the start of a request, the controller loads records for the customer identified by the trusted session. After confirmed ticket creation, controller code writes a validated, bounded summary. The model receives prior case information as read-only context; it does not directly write memory.</w:t>
      </w:r>
    </w:p>
    <w:p>
      <w:pPr>
        <w:pStyle w:val="23"/>
        <w:numPr>
          <w:ilvl w:val="0"/>
          <w:numId w:val="7"/>
        </w:numPr>
        <w:tabs>
          <w:tab w:val="clear" w:pos="420"/>
        </w:tabs>
        <w:spacing w:after="8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Demonstration scenarios. </w:t>
      </w:r>
      <w:r>
        <w:rPr>
          <w:rFonts w:hint="default" w:ascii="Times New Roman" w:hAnsi="Times New Roman" w:cs="Times New Roman"/>
          <w:color w:val="000000"/>
          <w:sz w:val="24"/>
          <w:szCs w:val="24"/>
        </w:rPr>
        <w:t>The demo code defines four cases: create a ticket and save its history; return later and look up the prior ticket; reject another customer’s ticket request; and require a separate approval step for escalation even when the case is in memory. The source includes outcome assertions, but no execution trace or saved run output is present; runtime success is therefore not reported as verified.</w:t>
      </w:r>
    </w:p>
    <w:p>
      <w:pPr>
        <w:pStyle w:val="23"/>
        <w:numPr>
          <w:ilvl w:val="0"/>
          <w:numId w:val="7"/>
        </w:numPr>
        <w:tabs>
          <w:tab w:val="clear" w:pos="420"/>
        </w:tabs>
        <w:spacing w:after="8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MCP-style interface specification. </w:t>
      </w:r>
      <w:r>
        <w:rPr>
          <w:rFonts w:hint="default" w:ascii="Times New Roman" w:hAnsi="Times New Roman" w:cs="Times New Roman"/>
          <w:color w:val="000000"/>
          <w:sz w:val="24"/>
          <w:szCs w:val="24"/>
        </w:rPr>
        <w:t>Specified a proposed ticket-status lookup, its data contract, security boundaries and verification plan. The document clearly marks the design as unimplemented: there is no configured ticket database, MCP server or MCP client, and no MCP call has been made.</w:t>
      </w:r>
    </w:p>
    <w:p>
      <w:pPr>
        <w:pStyle w:val="2"/>
        <w:jc w:val="both"/>
        <w:rPr>
          <w:rFonts w:hint="default" w:ascii="Times New Roman" w:hAnsi="Times New Roman" w:cs="Times New Roman"/>
        </w:rPr>
      </w:pPr>
      <w:r>
        <w:rPr>
          <w:rFonts w:hint="default" w:ascii="Times New Roman" w:hAnsi="Times New Roman" w:cs="Times New Roman"/>
          <w:color w:val="000000"/>
          <w:sz w:val="28"/>
          <w:szCs w:val="28"/>
        </w:rPr>
        <w:t>3. State, memory and control decisions</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The state model separates temporary workflow information from persistent case history. Request identity comes from the authenticated session; evidence and tool calls are retained in the workflow trace; approval status is controlled by the application or a human; and the final response and stop reason are recorded at completion. The model can propose an action, while trusted code validates and executes it.</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Memory exists to support continuity: a returning customer can ask about an open case without restating the full issue or ticket reference. Ownership checks bind reads to the session customer. Memory cannot change identity, authorize escalation, or decide a financial or account outcome. This directly addresses the weekly requirement that memory help a legitimate task without silently controlling a critical decision.</w:t>
      </w:r>
    </w:p>
    <w:p>
      <w:pPr>
        <w:pStyle w:val="2"/>
        <w:bidi w:val="0"/>
        <w:rPr>
          <w:rFonts w:hint="default" w:ascii="Times New Roman" w:hAnsi="Times New Roman" w:cs="Times New Roman"/>
          <w:sz w:val="28"/>
          <w:szCs w:val="28"/>
        </w:rPr>
      </w:pPr>
      <w:r>
        <w:rPr>
          <w:rFonts w:hint="default" w:ascii="Times New Roman" w:hAnsi="Times New Roman" w:cs="Times New Roman"/>
          <w:sz w:val="28"/>
          <w:szCs w:val="28"/>
        </w:rPr>
        <w:t>4. Privacy, safety and prototype limits</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The memory design excludes passwords, PINs, approval tokens, full account numbers, card security codes and unrestricted conversation transcripts. The prototype rejects disallowed memory fields, requires core case fields, limits the stored summary to 200 characters and records memory read, write and delete events without placing the deleted case content in the audit event. Deletion and retention are addressed in the design note; the current in-process demonstration store does not provide production persistence or a production deletion service.</w:t>
      </w:r>
    </w:p>
    <w:p>
      <w:pPr>
        <w:spacing w:after="100"/>
        <w:jc w:val="both"/>
        <w:rPr>
          <w:rFonts w:hint="default" w:ascii="Times New Roman" w:hAnsi="Times New Roman" w:cs="Times New Roman"/>
          <w:sz w:val="24"/>
          <w:szCs w:val="24"/>
        </w:rPr>
      </w:pPr>
      <w:r>
        <w:rPr>
          <w:rFonts w:hint="default" w:ascii="Times New Roman" w:hAnsi="Times New Roman" w:cs="Times New Roman"/>
          <w:color w:val="000000"/>
          <w:sz w:val="24"/>
          <w:szCs w:val="24"/>
        </w:rPr>
        <w:t>All ticket and customer records in the demonstration are synthetic. The prototype is not connected to Centenary Bank systems and does not establish production-grade authentication, encryption, database security, operational retention periods or regulatory compliance. These are explicit limits of the current academic demonstration and would need resolution before any real-data deployment.</w:t>
      </w:r>
    </w:p>
    <w:p>
      <w:pPr>
        <w:pStyle w:val="2"/>
        <w:jc w:val="both"/>
        <w:rPr>
          <w:rFonts w:hint="default" w:ascii="Times New Roman" w:hAnsi="Times New Roman" w:cs="Times New Roman"/>
          <w:sz w:val="28"/>
          <w:szCs w:val="28"/>
        </w:rPr>
      </w:pPr>
      <w:r>
        <w:rPr>
          <w:rFonts w:hint="default" w:ascii="Times New Roman" w:hAnsi="Times New Roman" w:cs="Times New Roman"/>
          <w:color w:val="000000"/>
          <w:sz w:val="28"/>
          <w:szCs w:val="28"/>
        </w:rPr>
        <w:t>5. Deliverable status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77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shd w:val="clear" w:color="auto" w:fill="FFFFFF"/>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Deliverable</w:t>
            </w:r>
          </w:p>
        </w:tc>
        <w:tc>
          <w:tcPr>
            <w:tcW w:w="7704" w:type="dxa"/>
            <w:shd w:val="clear" w:color="auto" w:fill="FFFFFF"/>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color w:val="000000"/>
                <w:sz w:val="24"/>
                <w:szCs w:val="24"/>
              </w:rPr>
              <w:t>Status and repository evidence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State model</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Documented: docs/requirements/week6/Week6_State_Model.md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Memory design and data handling</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Documented: docs/requirements/week6/Week6_Memory_Design_and_Data_Handling_Note.md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Memory/state implementation</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Prototype code: evidence/demo/centenary-agent-week6/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Demonstration evidence</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Four scenarios are scripted; run output or trace still needs to be captured.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Interoperability</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MCP-style specification complete as a design; integration not implemented.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Progress report</w:t>
            </w:r>
          </w:p>
        </w:tc>
        <w:tc>
          <w:tcPr>
            <w:tcW w:w="7704" w:type="dxa"/>
            <w:vAlign w:val="center"/>
          </w:tcPr>
          <w:p>
            <w:pPr>
              <w:spacing w:before="40" w:after="40"/>
              <w:jc w:val="both"/>
              <w:rPr>
                <w:rFonts w:hint="default" w:ascii="Times New Roman" w:hAnsi="Times New Roman" w:cs="Times New Roman"/>
                <w:sz w:val="24"/>
                <w:szCs w:val="24"/>
              </w:rPr>
            </w:pPr>
            <w:r>
              <w:rPr>
                <w:rFonts w:hint="default" w:ascii="Times New Roman" w:hAnsi="Times New Roman" w:cs="Times New Roman"/>
                <w:b w:val="0"/>
                <w:color w:val="000000"/>
                <w:sz w:val="24"/>
                <w:szCs w:val="24"/>
              </w:rPr>
              <w:t>This document.</w:t>
            </w:r>
          </w:p>
        </w:tc>
      </w:tr>
    </w:tbl>
    <w:p>
      <w:pPr>
        <w:pStyle w:val="2"/>
        <w:jc w:val="both"/>
        <w:rPr>
          <w:rFonts w:hint="default" w:ascii="Times New Roman" w:hAnsi="Times New Roman" w:cs="Times New Roman"/>
          <w:color w:val="000000"/>
          <w:sz w:val="28"/>
          <w:szCs w:val="28"/>
          <w:lang w:val="en-US"/>
        </w:rPr>
      </w:pPr>
    </w:p>
    <w:p>
      <w:pPr>
        <w:pStyle w:val="2"/>
        <w:jc w:val="both"/>
        <w:rPr>
          <w:rFonts w:hint="default" w:ascii="Times New Roman" w:hAnsi="Times New Roman" w:cs="Times New Roman"/>
          <w:sz w:val="28"/>
          <w:szCs w:val="28"/>
        </w:rPr>
      </w:pPr>
      <w:r>
        <w:rPr>
          <w:rFonts w:hint="default" w:ascii="Times New Roman" w:hAnsi="Times New Roman" w:cs="Times New Roman"/>
          <w:color w:val="000000"/>
          <w:sz w:val="28"/>
          <w:szCs w:val="28"/>
          <w:lang w:val="en-US"/>
        </w:rPr>
        <w:t>6</w:t>
      </w:r>
      <w:r>
        <w:rPr>
          <w:rFonts w:hint="default" w:ascii="Times New Roman" w:hAnsi="Times New Roman" w:cs="Times New Roman"/>
          <w:color w:val="000000"/>
          <w:sz w:val="28"/>
          <w:szCs w:val="28"/>
        </w:rPr>
        <w:t>. Overall assessment</w:t>
      </w:r>
    </w:p>
    <w:p>
      <w:pPr>
        <w:spacing w:after="10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The week produced the required design artifacts and a working-code prototype for explicit state and limited case-history memory. The central boundary is clear: memory improves continuity, while authorization and approval remain external to the model. The MCP deliverable is ready to guide future implementation but is not yet an operational integration. </w:t>
      </w:r>
      <w:r>
        <w:rPr>
          <w:rFonts w:hint="default" w:ascii="Times New Roman" w:hAnsi="Times New Roman" w:cs="Times New Roman"/>
          <w:color w:val="000000"/>
          <w:sz w:val="24"/>
          <w:szCs w:val="24"/>
          <w:lang w:val="en-US" w:eastAsia="zh-CN"/>
        </w:rPr>
        <w:t xml:space="preserve">The Week 6 memory and state demonstration is implemented in code. The repository does not yet </w:t>
      </w:r>
      <w:bookmarkStart w:id="0" w:name="_GoBack"/>
      <w:bookmarkEnd w:id="0"/>
      <w:r>
        <w:rPr>
          <w:rFonts w:hint="default" w:ascii="Times New Roman" w:hAnsi="Times New Roman" w:cs="Times New Roman"/>
          <w:color w:val="000000"/>
          <w:sz w:val="24"/>
          <w:szCs w:val="24"/>
          <w:lang w:val="en-US" w:eastAsia="zh-CN"/>
        </w:rPr>
        <w:t>include saved output from an executed run.</w:t>
      </w:r>
    </w:p>
    <w:p>
      <w:pPr>
        <w:spacing w:after="100"/>
        <w:jc w:val="both"/>
        <w:rPr>
          <w:rFonts w:hint="default" w:ascii="Times New Roman" w:hAnsi="Times New Roman" w:cs="Times New Roman"/>
          <w:sz w:val="24"/>
          <w:szCs w:val="24"/>
        </w:rPr>
      </w:pPr>
    </w:p>
    <w:p>
      <w:pPr>
        <w:spacing w:before="160" w:after="0"/>
        <w:jc w:val="both"/>
        <w:rPr>
          <w:rFonts w:hint="default" w:ascii="Times New Roman" w:hAnsi="Times New Roman" w:cs="Times New Roman"/>
        </w:rPr>
      </w:pPr>
    </w:p>
    <w:sectPr>
      <w:pgSz w:w="12240" w:h="15840"/>
      <w:pgMar w:top="979" w:right="1123" w:bottom="979"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Quicksand Light"/>
    <w:panose1 w:val="00000000000000000000"/>
    <w:charset w:val="80"/>
    <w:family w:val="roman"/>
    <w:pitch w:val="default"/>
    <w:sig w:usb0="00000000" w:usb1="00000000" w:usb2="00000010" w:usb3="00000000" w:csb0="00020000" w:csb1="00000000"/>
  </w:font>
  <w:font w:name="Quicksand Light">
    <w:panose1 w:val="00000400000000000000"/>
    <w:charset w:val="00"/>
    <w:family w:val="auto"/>
    <w:pitch w:val="default"/>
    <w:sig w:usb0="2000000F" w:usb1="00000001" w:usb2="00000000" w:usb3="00000000" w:csb0="20000193" w:csb1="00000000"/>
  </w:font>
  <w:font w:name="ＭＳ 明朝">
    <w:altName w:val="Quicksand Light"/>
    <w:panose1 w:val="00000000000000000000"/>
    <w:charset w:val="86"/>
    <w:family w:val="auto"/>
    <w:pitch w:val="default"/>
    <w:sig w:usb0="00000000" w:usb1="00000000" w:usb2="00000000" w:usb3="00000000" w:csb0="00000000"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70839"/>
    <w:multiLevelType w:val="singleLevel"/>
    <w:tmpl w:val="BF7708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BF10C0"/>
    <w:rsid w:val="FCEFE2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160" w:after="6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160" w:after="6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krystals</cp:lastModifiedBy>
  <dcterms:modified xsi:type="dcterms:W3CDTF">2026-10-09T22:08:48Z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