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  <w:rPr>
          <w:rFonts w:hint="default"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</w:rPr>
        <w:t>Controlled Corpus &amp; Source Register</w:t>
      </w:r>
    </w:p>
    <w:p>
      <w:pPr>
        <w:spacing w:after="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spacing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Working Seed Corpus: </w:t>
      </w:r>
      <w:r>
        <w:rPr>
          <w:rFonts w:hint="default" w:ascii="Times New Roman" w:hAnsi="Times New Roman" w:cs="Times New Roman"/>
          <w:sz w:val="24"/>
          <w:szCs w:val="24"/>
        </w:rPr>
        <w:t>centenary_bank_faqs.csv (98 total raw rows)</w:t>
      </w:r>
    </w:p>
    <w:p>
      <w:pPr>
        <w:spacing w:after="2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Evaluation Corpus Slice: </w:t>
      </w:r>
      <w:r>
        <w:rPr>
          <w:rFonts w:hint="default" w:ascii="Times New Roman" w:hAnsi="Times New Roman" w:cs="Times New Roman"/>
          <w:sz w:val="24"/>
          <w:szCs w:val="24"/>
        </w:rPr>
        <w:t>24 frozen equivalent records (COR-001 to COR-024)</w:t>
      </w:r>
    </w:p>
    <w:p>
      <w:pPr>
        <w:pStyle w:val="2"/>
        <w:spacing w:before="320" w:after="14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1. Executive Summary &amp; Purpose</w:t>
      </w:r>
    </w:p>
    <w:p>
      <w:pPr>
        <w:spacing w:after="1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This document is the formal Corpus and Source Register for Week 3 of the AI Agentic Capstone project. The brief calls for a controlled, traceable knowledge source of roughly 10 to 50 documents or equivalent records, so this pipeline freezes a 24-record evaluation slice drawn from a 98-row master seed dataset, centenary_bank_faqs.csv. Freezing this slice keeps the grounding reproducible, keeps provenance traceable back to a specific source, and lets retrieval be evaluated on the same fixed set every time.</w:t>
      </w:r>
    </w:p>
    <w:p>
      <w:pPr>
        <w:pStyle w:val="2"/>
        <w:spacing w:before="320" w:after="14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2. Corpus Selection &amp; Governing Rules</w:t>
      </w:r>
    </w:p>
    <w:p>
      <w:pPr>
        <w:spacing w:after="1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To keep data integrity and AI safety alignment consistent, the corpus follows a few rules:</w:t>
      </w:r>
    </w:p>
    <w:p>
      <w:pPr>
        <w:pStyle w:val="16"/>
        <w:numPr>
          <w:ilvl w:val="0"/>
          <w:numId w:val="1"/>
        </w:numPr>
        <w:spacing w:after="100" w:line="27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Record bound (10–50 slice): 24 representative records were frozen so the same 15 test cases can be benchmarked reproducibly.</w:t>
      </w:r>
    </w:p>
    <w:p>
      <w:pPr>
        <w:pStyle w:val="16"/>
        <w:numPr>
          <w:ilvl w:val="0"/>
          <w:numId w:val="1"/>
        </w:numPr>
        <w:spacing w:after="100" w:line="27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Equivalent records: rather than separate PDF or Word documents, each structured CSV row stands on its own as a record representing one domain query and its answer.</w:t>
      </w:r>
    </w:p>
    <w:p>
      <w:pPr>
        <w:pStyle w:val="16"/>
        <w:numPr>
          <w:ilvl w:val="0"/>
          <w:numId w:val="1"/>
        </w:numPr>
        <w:spacing w:after="100" w:line="27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Provenance traceability: every row is mapped back to an official public banking portal or regulatory guideline.</w:t>
      </w:r>
    </w:p>
    <w:p>
      <w:pPr>
        <w:pStyle w:val="16"/>
        <w:numPr>
          <w:ilvl w:val="0"/>
          <w:numId w:val="1"/>
        </w:numPr>
        <w:spacing w:after="100" w:line="27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Exclusion policy: rows that are unverified, ad-hoc, or not traceable to a source are left out of the retrieval knowledge base, to keep hallucination risk down.</w:t>
      </w:r>
    </w:p>
    <w:p>
      <w:pPr>
        <w:pStyle w:val="16"/>
        <w:numPr>
          <w:ilvl w:val="0"/>
          <w:numId w:val="1"/>
        </w:numPr>
        <w:spacing w:after="100" w:line="27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Governance integration: the system boundary matrix and Bank of Uganda (BoU) consumer protection guidelines are included as regulatory control anchors.</w:t>
      </w:r>
    </w:p>
    <w:p>
      <w:pPr>
        <w:pStyle w:val="2"/>
        <w:spacing w:before="320" w:after="14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3. Master Source Register</w:t>
      </w:r>
    </w:p>
    <w:p>
      <w:pPr>
        <w:spacing w:after="1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The table below lists the authoritative source documents the corpus is anchored to:</w:t>
      </w:r>
    </w:p>
    <w:tbl>
      <w:tblPr>
        <w:tblStyle w:val="9"/>
        <w:tblW w:w="11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8"/>
        <w:gridCol w:w="1407"/>
        <w:gridCol w:w="1364"/>
        <w:gridCol w:w="4566"/>
        <w:gridCol w:w="2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Source ID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Source Name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Location / Link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Role in RAG Corpus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G-01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AI Boundary Matrix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docs/requirements/AI_Boundary_Matrix.docx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Defines allowed answers, escalation triggers, and safety guardrails.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G-02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Project Charter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docs/requirements/Project_Charter_Final_3_Pages.docx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Establishes project scope, business objectives, and service boundaries.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Centenary Bank Portal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Public Ref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https://www.centenarybank.co.ug/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Official repository for general bank facts, card services, and branch info.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R-02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Treasury Platform FAQ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Public Ref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https://centetreasury.centenarybank.co.ug/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Primary reference for product guidelines, rates, and digital features.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CSD Account Application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Public Ref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https://centetreasury.centenarybank.co.ug/open-csd/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Defines formal account-opening procedures and mandatory customer documentation.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R-04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BoU Consumer Protection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Regulatory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https://bou.or.ug/financial_inclusion...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Bank of Uganda framework governing fair treatment and complaint handling.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BoU Published Charges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Regulatory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https://bou.or.ug/supervision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Regulatory anchor for fee schedules, tariffs, and transaction limits.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R-06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PDPO Obligations Page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Regulatory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https://www.pdpo.go.ug/organisation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Personal Data Protection Office guidelines for compliance and data rights.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R-07</w:t>
            </w:r>
          </w:p>
        </w:tc>
        <w:tc>
          <w:tcPr>
            <w:tcW w:w="14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Data Protection Regs 2021</w:t>
            </w:r>
          </w:p>
        </w:tc>
        <w:tc>
          <w:tcPr>
            <w:tcW w:w="13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Regulatory</w:t>
            </w:r>
          </w:p>
        </w:tc>
        <w:tc>
          <w:tcPr>
            <w:tcW w:w="45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https://pdpo.go.ug/.../Regulations-2021.pdf</w:t>
            </w:r>
          </w:p>
        </w:tc>
        <w:tc>
          <w:tcPr>
            <w:tcW w:w="28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Legal framework mandating privacy controls and data subject consent.</w:t>
            </w:r>
          </w:p>
        </w:tc>
      </w:tr>
    </w:tbl>
    <w:p>
      <w:pPr>
        <w:spacing w:before="20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2"/>
        <w:spacing w:before="320" w:after="14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4. Controlled Corpus Register (24 Equivalent Records)</w:t>
      </w:r>
    </w:p>
    <w:p>
      <w:pPr>
        <w:spacing w:after="1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These 24 records make up the active grounded evaluation corpus slice for Week 3 retrieval testing:</w:t>
      </w:r>
    </w:p>
    <w:tbl>
      <w:tblPr>
        <w:tblStyle w:val="9"/>
        <w:tblW w:w="11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950"/>
        <w:gridCol w:w="1950"/>
        <w:gridCol w:w="1750"/>
        <w:gridCol w:w="1350"/>
        <w:gridCol w:w="4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Record ID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CSV Row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Topic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Source Basis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Provenance Note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COR-001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1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Bank Overview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Bank Overview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General overview and history of Centenary Bank Uganda.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COR-002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3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Services &amp; Products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Product Summary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Summary of retail, business, and agricultural products.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COR-003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5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Head Office Location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Contact / Location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Official corporate headquarters location and postal details.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COR-004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6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Support Numbers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Support Contact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Hotline numbers, email contacts, and toll-free lines.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COR-005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8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Minimum Balance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Account Rule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Threshold balance criteria across retail deposit accounts.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COR-006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10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CenteSacco Benefits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Product Features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Key features and value propositions for Sacco offerings.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COR-007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13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CenteSacco Opening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Account Requirements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Mandatory documentation and KYC requirements for Saccos.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COR-008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14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Interest Calculation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Fees &amp; Rates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R-02, 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Methodology for calculating interest yield on Sacco deposits.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COR-009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15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Withdrawal Charges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Charges &amp; Fees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Tariff structure for OTC and ATM Sacco withdrawals.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COR-010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19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Maintenance Fees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Fees &amp; Charges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Recurring ledger maintenance fee structure.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COR-011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20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CenteSacco Statements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Service Policy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Frequency and issuance rules for account statements.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COR-012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32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Direct Debit Charges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Fees &amp; Charges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Service charges applied to automated standing orders.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COR-013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41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Current Account Req.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Account Requirements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Required documentation for commercial current accounts.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COR-014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48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CenteDiaspora Features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Product Features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Specialized banking capabilities for offshore customers.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COR-015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49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Diaspora Account Opening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Account Requirements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Remote KYC, passport, and verification guidelines.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COR-016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58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Dormant Activation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Account Servicing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Reactivation workflow for inactive or dormant accounts.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COR-017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63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Mobile Balance Enquiry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Digital Support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USSD and Mobile App balance inquiry instructions.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COR-018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66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Monthly Deductions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Charges Explanation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Itemized breakdown of automatic system deductions.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COR-019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67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Statement Charges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Charges Explanation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Fee schedules for ad-hoc printed bank statements.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COR-020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69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Savings Requirements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Account Requirements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Standard requirements for individual savings accounts.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COR-021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70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Visa Card Requirements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Card Application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Eligibility and application steps for debit cards.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COR-022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71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Visa Card Replacement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Card Support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Procedure and replacement fee for lost or damaged cards.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COR-023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72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OTC Withdrawal Fees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Charges Explanation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Over-the-counter teller transaction fee schedule.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COR-024</w:t>
            </w:r>
          </w:p>
        </w:tc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Row 73</w:t>
            </w:r>
          </w:p>
        </w:tc>
        <w:tc>
          <w:tcPr>
            <w:tcW w:w="1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Internet Banking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Digital Capabilities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R-01, R-02</w:t>
            </w:r>
          </w:p>
        </w:tc>
        <w:tc>
          <w:tcPr>
            <w:tcW w:w="40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Self-service capabilities available via online portal.</w:t>
            </w:r>
          </w:p>
        </w:tc>
      </w:tr>
    </w:tbl>
    <w:p>
      <w:pPr>
        <w:spacing w:before="20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2"/>
        <w:spacing w:before="320" w:after="14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5. Ingestion Architecture &amp; Data Mapping</w:t>
      </w:r>
    </w:p>
    <w:p>
      <w:pPr>
        <w:spacing w:after="16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To get structured CSV rows ready for vector database indexing (e.g., Qdrant or FAISS), each row is parsed programmatically and chunked into a formatted context payload. This keeps the tabular attributes intact while shaping the content for good semantic retrieval.</w:t>
      </w:r>
    </w:p>
    <w:p>
      <w:pPr>
        <w:spacing w:before="120" w:after="6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Sample structured vector payload transformation:</w:t>
      </w:r>
      <w:bookmarkStart w:id="0" w:name="_GoBack"/>
      <w:bookmarkEnd w:id="0"/>
    </w:p>
    <w:tbl>
      <w:tblPr>
        <w:tblStyle w:val="9"/>
        <w:tblW w:w="9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sz w:val="24"/>
                <w:szCs w:val="24"/>
              </w:rPr>
              <w:t>Raw input row 13:</w:t>
            </w:r>
          </w:p>
          <w:p>
            <w:pPr>
              <w:spacing w:after="1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</w:rPr>
              <w:t>{ "row": 13, "category": "Requirements", "topic": "CenteSacco Opening", "question": "What is needed to open a CenteSacco account?", "answer": "National ID, recommendation letter, completed application form." }</w:t>
            </w:r>
          </w:p>
          <w:p>
            <w:pPr>
              <w:spacing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sz w:val="24"/>
                <w:szCs w:val="24"/>
              </w:rPr>
              <w:t>Ingested vector chunk (document content):</w:t>
            </w:r>
          </w:p>
          <w:p>
            <w:pPr>
              <w:spacing w:after="1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</w:rPr>
              <w:t>Record ID: COR-007 | Topic: CenteSacco Opening Requirements | Category: Requirements — Question: What is needed to open a CenteSacco account? — Grounded Context: National ID, recommendation letter, completed application form.</w:t>
            </w:r>
          </w:p>
          <w:p>
            <w:p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sz w:val="24"/>
                <w:szCs w:val="24"/>
              </w:rPr>
              <w:t>Payload metadata:</w:t>
            </w:r>
          </w:p>
          <w:p>
            <w:p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</w:rPr>
              <w:t>{ "rec_id": "COR-007", "csv_row": 13, "source_basis": ["R-03"] }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Sans">
    <w:altName w:val="Times New Roman"/>
    <w:panose1 w:val="02000503000000020004"/>
    <w:charset w:val="00"/>
    <w:family w:val="auto"/>
    <w:pitch w:val="default"/>
    <w:sig w:usb0="00000000" w:usb1="00000000" w:usb2="00000000" w:usb3="00000000" w:csb0="0000010D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8F2D"/>
    <w:multiLevelType w:val="singleLevel"/>
    <w:tmpl w:val="FFFF8F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FF6F21E"/>
    <w:rsid w:val="37FFC858"/>
    <w:rsid w:val="77F26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40"/>
    </w:pPr>
    <w:rPr>
      <w:rFonts w:ascii="Calibri" w:hAnsi="Calibri" w:eastAsia="Calibri" w:cs="Calibri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000000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krystals</cp:lastModifiedBy>
  <dcterms:modified xsi:type="dcterms:W3CDTF">2026-09-17T15:53:59Z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