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40"/>
        <w:jc w:val="center"/>
        <w:rPr>
          <w:rFonts w:hint="default" w:ascii="Times New Roman" w:hAnsi="Times New Roman" w:cs="Times New Roman"/>
          <w:sz w:val="24"/>
          <w:szCs w:val="24"/>
        </w:rPr>
      </w:pPr>
      <w:r>
        <w:rPr>
          <w:rFonts w:hint="default" w:ascii="Times New Roman" w:hAnsi="Times New Roman" w:cs="Times New Roman"/>
          <w:b/>
          <w:color w:val="000000"/>
          <w:sz w:val="24"/>
          <w:szCs w:val="24"/>
        </w:rPr>
        <w:t>BSE4104 EMERGING TRENDS IN SOFTWARE ENGINEERING  |  GROUP B – EVENING CLASS</w:t>
      </w:r>
    </w:p>
    <w:p>
      <w:pPr>
        <w:spacing w:after="20"/>
        <w:jc w:val="center"/>
        <w:rPr>
          <w:rFonts w:hint="default" w:ascii="Times New Roman" w:hAnsi="Times New Roman" w:cs="Times New Roman"/>
        </w:rPr>
      </w:pPr>
      <w:r>
        <w:rPr>
          <w:rFonts w:hint="default" w:ascii="Times New Roman" w:hAnsi="Times New Roman" w:cs="Times New Roman"/>
          <w:b/>
          <w:color w:val="000000"/>
          <w:sz w:val="40"/>
        </w:rPr>
        <w:t>WEEK 6 PROGRESS REPORT</w:t>
      </w:r>
    </w:p>
    <w:p>
      <w:pPr>
        <w:spacing w:after="220"/>
        <w:jc w:val="center"/>
        <w:rPr>
          <w:rFonts w:hint="default" w:ascii="Times New Roman" w:hAnsi="Times New Roman" w:cs="Times New Roman"/>
          <w:i w:val="0"/>
          <w:iCs/>
          <w:sz w:val="24"/>
          <w:szCs w:val="24"/>
        </w:rPr>
      </w:pPr>
      <w:r>
        <w:rPr>
          <w:rFonts w:hint="default" w:ascii="Times New Roman" w:hAnsi="Times New Roman" w:cs="Times New Roman"/>
          <w:b w:val="0"/>
          <w:i w:val="0"/>
          <w:iCs/>
          <w:color w:val="000000"/>
          <w:sz w:val="24"/>
          <w:szCs w:val="24"/>
        </w:rPr>
        <w:t>Memory, State and Interoperability  |  5–9 October 2026</w:t>
      </w:r>
    </w:p>
    <w:p>
      <w:pPr>
        <w:pStyle w:val="2"/>
        <w:jc w:val="both"/>
        <w:rPr>
          <w:rFonts w:hint="default" w:ascii="Times New Roman" w:hAnsi="Times New Roman" w:cs="Times New Roman"/>
          <w:sz w:val="28"/>
          <w:szCs w:val="28"/>
        </w:rPr>
      </w:pPr>
      <w:r>
        <w:rPr>
          <w:rFonts w:hint="default" w:ascii="Times New Roman" w:hAnsi="Times New Roman" w:cs="Times New Roman"/>
          <w:color w:val="000000"/>
          <w:sz w:val="28"/>
          <w:szCs w:val="28"/>
        </w:rPr>
        <w:t>1. Objective and weekly summary</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Week 6 focused on explicit workflow state, justified case-history memory, and interoperability. Building on the bounded agent loop and tool orchestration, the group produced a state model, a memory and data-handling note, a memory/state prototype with four scenarios, and an MCP-style interface specification. The Week 6 demo was run, and all four scenario assertions passed in the terminal output provided for this report.</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The prototype and design documents establish how the agent should preserve useful case context while keeping identity, authorization and consequential actions under trusted application control. The proposed MCP connection remains a design deliverable and has not been integrated or run.</w:t>
      </w:r>
    </w:p>
    <w:p>
      <w:pPr>
        <w:pStyle w:val="2"/>
        <w:jc w:val="both"/>
        <w:rPr>
          <w:rFonts w:hint="default" w:ascii="Times New Roman" w:hAnsi="Times New Roman" w:cs="Times New Roman"/>
        </w:rPr>
      </w:pPr>
      <w:r>
        <w:rPr>
          <w:rFonts w:hint="default" w:ascii="Times New Roman" w:hAnsi="Times New Roman" w:cs="Times New Roman"/>
          <w:color w:val="000000"/>
          <w:sz w:val="28"/>
          <w:szCs w:val="28"/>
        </w:rPr>
        <w:t>2. Work completed</w:t>
      </w:r>
    </w:p>
    <w:p>
      <w:pPr>
        <w:pStyle w:val="23"/>
        <w:numPr>
          <w:ilvl w:val="0"/>
          <w:numId w:val="7"/>
        </w:numPr>
        <w:tabs>
          <w:tab w:val="clear" w:pos="420"/>
        </w:tabs>
        <w:spacing w:after="80"/>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 xml:space="preserve">Workflow state model. </w:t>
      </w:r>
      <w:r>
        <w:rPr>
          <w:rFonts w:hint="default" w:ascii="Times New Roman" w:hAnsi="Times New Roman" w:cs="Times New Roman"/>
          <w:color w:val="000000"/>
          <w:sz w:val="24"/>
          <w:szCs w:val="24"/>
        </w:rPr>
        <w:t>Documented the request lifecycle from classification and retrieval through action selection, approval, tool execution, observation and a terminal outcome. The model identifies each important state field, its source and its control rule. It sets a maximum of four workflow iterations and permits one safe retry per failed call.</w:t>
      </w:r>
    </w:p>
    <w:p>
      <w:pPr>
        <w:pStyle w:val="23"/>
        <w:numPr>
          <w:ilvl w:val="0"/>
          <w:numId w:val="7"/>
        </w:numPr>
        <w:tabs>
          <w:tab w:val="clear" w:pos="420"/>
        </w:tabs>
        <w:spacing w:after="80"/>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 xml:space="preserve">Memory design and data handling. </w:t>
      </w:r>
      <w:r>
        <w:rPr>
          <w:rFonts w:hint="default" w:ascii="Times New Roman" w:hAnsi="Times New Roman" w:cs="Times New Roman"/>
          <w:color w:val="000000"/>
          <w:sz w:val="24"/>
          <w:szCs w:val="24"/>
        </w:rPr>
        <w:t>Selected authenticated customer case history as the single persistent-memory use case. The record is limited to a ticket reference, issue category, short summary, status, last action and update time. The note explains why each field is useful and defines access, retention, deletion and minimization rules.</w:t>
      </w:r>
    </w:p>
    <w:p>
      <w:pPr>
        <w:pStyle w:val="23"/>
        <w:numPr>
          <w:ilvl w:val="0"/>
          <w:numId w:val="7"/>
        </w:numPr>
        <w:tabs>
          <w:tab w:val="clear" w:pos="420"/>
        </w:tabs>
        <w:spacing w:after="80"/>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 xml:space="preserve">Memory/state implementation. </w:t>
      </w:r>
      <w:r>
        <w:rPr>
          <w:rFonts w:hint="default" w:ascii="Times New Roman" w:hAnsi="Times New Roman" w:cs="Times New Roman"/>
          <w:color w:val="000000"/>
          <w:sz w:val="24"/>
          <w:szCs w:val="24"/>
        </w:rPr>
        <w:t>Added a Week 6 controller and an in-process MemoryStore shared across requests during one demo run. It loads records for the trusted session customer and writes a validated, bounded summary after confirmed ticket creation. The Gemini planner is designed to receive prior cases as read-only context; the deterministic planner used by the demo follows scripted actions. The store is not durable across process restarts.</w:t>
      </w:r>
    </w:p>
    <w:p>
      <w:pPr>
        <w:pStyle w:val="23"/>
        <w:numPr>
          <w:ilvl w:val="0"/>
          <w:numId w:val="7"/>
        </w:numPr>
        <w:tabs>
          <w:tab w:val="clear" w:pos="420"/>
        </w:tabs>
        <w:spacing w:after="80"/>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b/>
          <w:bCs/>
          <w:color w:val="000000"/>
          <w:sz w:val="24"/>
          <w:szCs w:val="24"/>
        </w:rPr>
        <w:t xml:space="preserve">Demonstration results. </w:t>
      </w:r>
      <w:r>
        <w:rPr>
          <w:rFonts w:hint="default" w:ascii="Times New Roman" w:hAnsi="Times New Roman" w:cs="Times New Roman"/>
          <w:color w:val="000000"/>
          <w:sz w:val="24"/>
          <w:szCs w:val="24"/>
        </w:rPr>
        <w:t>The provided terminal output shows all four scenarios completed with passing assertions: ticket created and saved to memory (TICKET_CREATED); returning customer’s ticket status retrieved (TICKET_STATUS_RETURNED); cross-customer access denied (AUTHORIZATION_DENIED); and escalation completed after a simulated approval (ESCALATED_AFTER_APPROVAL). Scenario 2’s scripted action already contains the ticket ID, so the run confirms memory was loaded and the lookup succeeded, but does not isolate memory as the reason the planner selected that ID. The run transcript is archived at evidence/traces/week6/demo-week6-run-2026-10-09.txt.</w:t>
      </w:r>
    </w:p>
    <w:p>
      <w:pPr>
        <w:pStyle w:val="23"/>
        <w:numPr>
          <w:ilvl w:val="0"/>
          <w:numId w:val="7"/>
        </w:numPr>
        <w:tabs>
          <w:tab w:val="clear" w:pos="420"/>
        </w:tabs>
        <w:spacing w:after="80"/>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 xml:space="preserve">MCP-style interface specification. </w:t>
      </w:r>
      <w:r>
        <w:rPr>
          <w:rFonts w:hint="default" w:ascii="Times New Roman" w:hAnsi="Times New Roman" w:cs="Times New Roman"/>
          <w:color w:val="000000"/>
          <w:sz w:val="24"/>
          <w:szCs w:val="24"/>
        </w:rPr>
        <w:t>Specified a proposed ticket-status lookup, its data contract, security boundaries and verification plan. The document clearly marks the design as unimplemented: there is no configured ticket database, MCP server or MCP client, and no MCP call has been made.</w:t>
      </w:r>
    </w:p>
    <w:p>
      <w:pPr>
        <w:pStyle w:val="2"/>
        <w:jc w:val="both"/>
        <w:rPr>
          <w:rFonts w:hint="default" w:ascii="Times New Roman" w:hAnsi="Times New Roman" w:cs="Times New Roman"/>
        </w:rPr>
      </w:pPr>
      <w:r>
        <w:rPr>
          <w:rFonts w:hint="default" w:ascii="Times New Roman" w:hAnsi="Times New Roman" w:cs="Times New Roman"/>
          <w:color w:val="000000"/>
          <w:sz w:val="28"/>
          <w:szCs w:val="28"/>
        </w:rPr>
        <w:t>3. State, memory and control decisions</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The state model separates per-request workflow information from case-history memory. Request identity comes from the authenticated session; evidence and tool calls are retained in the workflow; approval status is controlled by trusted application code or a human; and the final response and stop reason are recorded at completion. The model may propose an action, while trusted code validates and executes it.</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The documented use case is continuity for a returning customer with an open case. In the demo, the controller loaded the customer’s stored case and</w:t>
      </w:r>
      <w:bookmarkStart w:id="0" w:name="_GoBack"/>
      <w:bookmarkEnd w:id="0"/>
      <w:r>
        <w:rPr>
          <w:rFonts w:hint="default" w:ascii="Times New Roman" w:hAnsi="Times New Roman" w:cs="Times New Roman"/>
          <w:color w:val="000000"/>
          <w:sz w:val="24"/>
          <w:szCs w:val="24"/>
        </w:rPr>
        <w:t xml:space="preserve"> the ticket lookup returned its status without a ticket ID in the customer’s message. The scripted planner supplied that ID in its action, however, so a follow-up using the memory-aware Gemini planner would provide stronger evidence that memory itself drives the selection. Ownership checks bind reads to the session customer; memory cannot change identity, authorize escalation or determine a financial outcome. The escalation scenario also shows the approval gate still runs, using a simulated approval callback.</w:t>
      </w:r>
    </w:p>
    <w:p>
      <w:pPr>
        <w:pStyle w:val="2"/>
        <w:bidi w:val="0"/>
        <w:rPr>
          <w:rFonts w:hint="default" w:ascii="Times New Roman" w:hAnsi="Times New Roman" w:cs="Times New Roman"/>
          <w:sz w:val="28"/>
          <w:szCs w:val="28"/>
        </w:rPr>
      </w:pPr>
      <w:r>
        <w:rPr>
          <w:rFonts w:hint="default" w:ascii="Times New Roman" w:hAnsi="Times New Roman" w:cs="Times New Roman"/>
          <w:sz w:val="28"/>
          <w:szCs w:val="28"/>
        </w:rPr>
        <w:t>4. Privacy, safety and prototype limits</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The memory design excludes passwords, PINs, approval tokens, full account numbers, card security codes and unrestricted conversation transcripts. The prototype rejects disallowed memory fields, requires core case fields, limits the stored summary to 200 characters and records memory read, write and delete events without placing the deleted case content in the audit event. Deletion and retention are addressed in the design note; the current in-process demonstration store does not provide production persistence or a production deletion service.</w:t>
      </w:r>
    </w:p>
    <w:p>
      <w:pPr>
        <w:spacing w:after="100"/>
        <w:jc w:val="both"/>
        <w:rPr>
          <w:rFonts w:hint="default" w:ascii="Times New Roman" w:hAnsi="Times New Roman" w:cs="Times New Roman"/>
          <w:sz w:val="24"/>
          <w:szCs w:val="24"/>
        </w:rPr>
      </w:pPr>
      <w:r>
        <w:rPr>
          <w:rFonts w:hint="default" w:ascii="Times New Roman" w:hAnsi="Times New Roman" w:cs="Times New Roman"/>
          <w:color w:val="000000"/>
          <w:sz w:val="24"/>
          <w:szCs w:val="24"/>
        </w:rPr>
        <w:t>All ticket and customer records in the demonstration are synthetic. The prototype is not connected to Centenary Bank systems and does not establish production-grade authentication, encryption, database security, operational retention periods or regulatory compliance. These are explicit limits of the current academic demonstration and would need resolution before any real-data deployment.</w:t>
      </w:r>
    </w:p>
    <w:p>
      <w:pPr>
        <w:pStyle w:val="2"/>
        <w:jc w:val="both"/>
        <w:rPr>
          <w:rFonts w:hint="default" w:ascii="Times New Roman" w:hAnsi="Times New Roman" w:cs="Times New Roman"/>
          <w:sz w:val="28"/>
          <w:szCs w:val="28"/>
        </w:rPr>
      </w:pPr>
      <w:r>
        <w:rPr>
          <w:rFonts w:hint="default" w:ascii="Times New Roman" w:hAnsi="Times New Roman" w:cs="Times New Roman"/>
          <w:color w:val="000000"/>
          <w:sz w:val="28"/>
          <w:szCs w:val="28"/>
        </w:rPr>
        <w:t>5. Deliverable status</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76"/>
        <w:gridCol w:w="77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76" w:type="dxa"/>
            <w:shd w:val="clear" w:color="auto" w:fill="FFFFFF"/>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Deliverable</w:t>
            </w:r>
          </w:p>
        </w:tc>
        <w:tc>
          <w:tcPr>
            <w:tcW w:w="7704" w:type="dxa"/>
            <w:shd w:val="clear" w:color="auto" w:fill="FFFFFF"/>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color w:val="000000"/>
                <w:sz w:val="24"/>
                <w:szCs w:val="24"/>
              </w:rPr>
              <w:t>Status and repository evidence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State model</w:t>
            </w:r>
          </w:p>
        </w:tc>
        <w:tc>
          <w:tcPr>
            <w:tcW w:w="7704"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Documented: docs/requirements/week6/Week6_State_Model.md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Memory design and data handling</w:t>
            </w:r>
          </w:p>
        </w:tc>
        <w:tc>
          <w:tcPr>
            <w:tcW w:w="7704"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Documented: docs/requirements/week6/Week6_Memory_Design_and_Data_Handling_Note.md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Memory/state implementation</w:t>
            </w:r>
          </w:p>
        </w:tc>
        <w:tc>
          <w:tcPr>
            <w:tcW w:w="7704"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Prototype code: evidence/demo/centenary-agent-week6/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Demonstration evidence</w:t>
            </w:r>
          </w:p>
        </w:tc>
        <w:tc>
          <w:tcPr>
            <w:tcW w:w="7704" w:type="dxa"/>
            <w:vAlign w:val="center"/>
          </w:tcPr>
          <w:p>
            <w:pPr>
              <w:rPr>
                <w:rFonts w:hint="default" w:ascii="Times New Roman" w:hAnsi="Times New Roman" w:cs="Times New Roman"/>
                <w:sz w:val="24"/>
                <w:szCs w:val="24"/>
              </w:rPr>
            </w:pPr>
            <w:r>
              <w:rPr>
                <w:rFonts w:hint="default" w:ascii="Times New Roman" w:hAnsi="Times New Roman" w:cs="Times New Roman"/>
                <w:color w:val="000000"/>
                <w:sz w:val="24"/>
                <w:szCs w:val="24"/>
              </w:rPr>
              <w:t>Run completed; all four scenario assertions passed. Transcript: evidence/traces/week6/demo-week6-run-2026-10-09.txt. Scenario 2 uses a scripted ticket 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Interoperability</w:t>
            </w:r>
          </w:p>
        </w:tc>
        <w:tc>
          <w:tcPr>
            <w:tcW w:w="7704"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MCP-style specification complete as a design; integration not implemented.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376"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Progress report</w:t>
            </w:r>
          </w:p>
        </w:tc>
        <w:tc>
          <w:tcPr>
            <w:tcW w:w="7704" w:type="dxa"/>
            <w:vAlign w:val="center"/>
          </w:tcPr>
          <w:p>
            <w:pPr>
              <w:spacing w:before="40" w:after="40"/>
              <w:jc w:val="both"/>
              <w:rPr>
                <w:rFonts w:hint="default" w:ascii="Times New Roman" w:hAnsi="Times New Roman" w:cs="Times New Roman"/>
                <w:sz w:val="24"/>
                <w:szCs w:val="24"/>
              </w:rPr>
            </w:pPr>
            <w:r>
              <w:rPr>
                <w:rFonts w:hint="default" w:ascii="Times New Roman" w:hAnsi="Times New Roman" w:cs="Times New Roman"/>
                <w:b w:val="0"/>
                <w:color w:val="000000"/>
                <w:sz w:val="24"/>
                <w:szCs w:val="24"/>
              </w:rPr>
              <w:t>This document.</w:t>
            </w:r>
          </w:p>
        </w:tc>
      </w:tr>
    </w:tbl>
    <w:p>
      <w:pPr>
        <w:pStyle w:val="2"/>
        <w:jc w:val="both"/>
        <w:rPr>
          <w:rFonts w:hint="default" w:ascii="Times New Roman" w:hAnsi="Times New Roman" w:cs="Times New Roman"/>
          <w:color w:val="000000"/>
          <w:sz w:val="28"/>
          <w:szCs w:val="28"/>
          <w:lang w:val="en-US"/>
        </w:rPr>
      </w:pPr>
    </w:p>
    <w:p>
      <w:pPr>
        <w:pStyle w:val="2"/>
        <w:jc w:val="both"/>
        <w:rPr>
          <w:rFonts w:hint="default" w:ascii="Times New Roman" w:hAnsi="Times New Roman" w:cs="Times New Roman"/>
          <w:sz w:val="28"/>
          <w:szCs w:val="28"/>
        </w:rPr>
      </w:pPr>
      <w:r>
        <w:rPr>
          <w:rFonts w:hint="default" w:ascii="Times New Roman" w:hAnsi="Times New Roman" w:cs="Times New Roman"/>
          <w:color w:val="000000"/>
          <w:sz w:val="28"/>
          <w:szCs w:val="28"/>
          <w:lang w:val="en-US"/>
        </w:rPr>
        <w:t>6</w:t>
      </w:r>
      <w:r>
        <w:rPr>
          <w:rFonts w:hint="default" w:ascii="Times New Roman" w:hAnsi="Times New Roman" w:cs="Times New Roman"/>
          <w:color w:val="000000"/>
          <w:sz w:val="28"/>
          <w:szCs w:val="28"/>
        </w:rPr>
        <w:t>. Overall assessment</w:t>
      </w:r>
    </w:p>
    <w:p>
      <w:pPr>
        <w:spacing w:after="100"/>
        <w:jc w:val="both"/>
        <w:rPr>
          <w:rFonts w:hint="default" w:ascii="Times New Roman" w:hAnsi="Times New Roman" w:cs="Times New Roman"/>
          <w:color w:val="000000"/>
          <w:sz w:val="24"/>
          <w:szCs w:val="24"/>
          <w:lang w:val="en-US"/>
        </w:rPr>
      </w:pPr>
      <w:r>
        <w:rPr>
          <w:rFonts w:hint="default" w:ascii="Times New Roman" w:hAnsi="Times New Roman" w:cs="Times New Roman"/>
          <w:color w:val="000000"/>
          <w:sz w:val="24"/>
          <w:szCs w:val="24"/>
        </w:rPr>
        <w:t>The group produced the Week 6 design artifacts, prototype code and MCP-style specification, and the four-scenario demo ran successfully in the terminal output provided. The output supports the state, memory-read/write, ownership-denial and approval-gate flows</w:t>
      </w:r>
      <w:r>
        <w:rPr>
          <w:rFonts w:hint="default" w:ascii="Times New Roman" w:hAnsi="Times New Roman" w:cs="Times New Roman"/>
          <w:color w:val="000000"/>
          <w:sz w:val="24"/>
          <w:szCs w:val="24"/>
          <w:lang w:val="en-US"/>
        </w:rPr>
        <w:t>.</w:t>
      </w:r>
      <w:r>
        <w:rPr>
          <w:rFonts w:hint="default" w:ascii="Times New Roman" w:hAnsi="Times New Roman" w:cs="Times New Roman"/>
          <w:color w:val="000000"/>
          <w:sz w:val="24"/>
          <w:szCs w:val="24"/>
        </w:rPr>
        <w:t xml:space="preserve"> The MCP specification remains a design deliverable, not an operational integration</w:t>
      </w:r>
      <w:r>
        <w:rPr>
          <w:rFonts w:hint="default" w:ascii="Times New Roman" w:hAnsi="Times New Roman" w:cs="Times New Roman"/>
          <w:color w:val="000000"/>
          <w:sz w:val="24"/>
          <w:szCs w:val="24"/>
          <w:lang w:val="en-US"/>
        </w:rPr>
        <w:t>.</w:t>
      </w:r>
    </w:p>
    <w:sectPr>
      <w:pgSz w:w="12240" w:h="15840"/>
      <w:pgMar w:top="979" w:right="1123" w:bottom="979" w:left="112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Sans"/>
    <w:panose1 w:val="05000000000000000000"/>
    <w:charset w:val="00"/>
    <w:family w:val="auto"/>
    <w:pitch w:val="default"/>
    <w:sig w:usb0="00000000" w:usb1="10000000" w:usb2="00000000" w:usb3="00000000" w:csb0="80000000" w:csb1="00000000"/>
  </w:font>
  <w:font w:name="Adwaita Sans">
    <w:altName w:val="Times New Roman"/>
    <w:panose1 w:val="02000503000000020004"/>
    <w:charset w:val="00"/>
    <w:family w:val="auto"/>
    <w:pitch w:val="default"/>
    <w:sig w:usb0="00000000" w:usb1="00000000" w:usb2="00000000" w:usb3="00000000" w:csb0="0000010D"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ＭＳ 明朝">
    <w:altName w:val="Droid Sans Fallback"/>
    <w:panose1 w:val="00000000000000000000"/>
    <w:charset w:val="80"/>
    <w:family w:val="roman"/>
    <w:pitch w:val="default"/>
    <w:sig w:usb0="00000000" w:usb1="00000000" w:usb2="00000010" w:usb3="00000000" w:csb0="00020000" w:csb1="00000000"/>
  </w:font>
  <w:font w:name="ＭＳ ゴシック">
    <w:altName w:val="Droid Sans Fallback"/>
    <w:panose1 w:val="00000000000000000000"/>
    <w:charset w:val="80"/>
    <w:family w:val="modern"/>
    <w:pitch w:val="default"/>
    <w:sig w:usb0="00000000" w:usb1="00000000" w:usb2="00000010" w:usb3="00000000" w:csb0="00020000" w:csb1="00000000"/>
  </w:font>
  <w:font w:name="Symbol">
    <w:altName w:val="MathJax_Vector"/>
    <w:panose1 w:val="00000000000000000000"/>
    <w:charset w:val="02"/>
    <w:family w:val="auto"/>
    <w:pitch w:val="default"/>
    <w:sig w:usb0="00000000" w:usb1="00000000" w:usb2="00000000" w:usb3="00000000" w:csb0="80000000" w:csb1="00000000"/>
  </w:font>
  <w:font w:name="MathJax_Vector">
    <w:panose1 w:val="02000603000000000000"/>
    <w:charset w:val="00"/>
    <w:family w:val="auto"/>
    <w:pitch w:val="default"/>
    <w:sig w:usb0="00000001" w:usb1="00000020" w:usb2="00000000" w:usb3="00000000" w:csb0="00000001" w:csb1="00000000"/>
  </w:font>
  <w:font w:name="Courier">
    <w:panose1 w:val="00000000000000000000"/>
    <w:charset w:val="00"/>
    <w:family w:val="auto"/>
    <w:pitch w:val="default"/>
    <w:sig w:usb0="00000000" w:usb1="00000000" w:usb2="00000000" w:usb3="00000000" w:csb0="00000000" w:csb1="00000000"/>
  </w:font>
  <w:font w:name="Cambria">
    <w:altName w:val="Caladea"/>
    <w:panose1 w:val="02040503050406030204"/>
    <w:charset w:val="00"/>
    <w:family w:val="auto"/>
    <w:pitch w:val="default"/>
    <w:sig w:usb0="00000000" w:usb1="00000000" w:usb2="00000000" w:usb3="00000000" w:csb0="0000019F" w:csb1="00000000"/>
  </w:font>
  <w:font w:name="Caladea">
    <w:panose1 w:val="02040503050406030204"/>
    <w:charset w:val="00"/>
    <w:family w:val="auto"/>
    <w:pitch w:val="default"/>
    <w:sig w:usb0="00000007" w:usb1="00000000" w:usb2="00000000" w:usb3="00000000" w:csb0="20000093" w:csb1="00000000"/>
  </w:font>
  <w:font w:name="DejaVu Sans">
    <w:panose1 w:val="020B0603030804020204"/>
    <w:charset w:val="00"/>
    <w:family w:val="auto"/>
    <w:pitch w:val="default"/>
    <w:sig w:usb0="E7006EFF" w:usb1="D200FDFF" w:usb2="0A246029" w:usb3="0400200C" w:csb0="600001FF" w:csb1="DFFF0000"/>
  </w:font>
  <w:font w:name="ＭＳ ゴシック">
    <w:altName w:val="Quicksand Light"/>
    <w:panose1 w:val="00000000000000000000"/>
    <w:charset w:val="00"/>
    <w:family w:val="auto"/>
    <w:pitch w:val="default"/>
    <w:sig w:usb0="00000000" w:usb1="00000000" w:usb2="00000000" w:usb3="00000000" w:csb0="00000000" w:csb1="00000000"/>
  </w:font>
  <w:font w:name="Quicksand Light">
    <w:panose1 w:val="00000400000000000000"/>
    <w:charset w:val="00"/>
    <w:family w:val="auto"/>
    <w:pitch w:val="default"/>
    <w:sig w:usb0="2000000F" w:usb1="00000001" w:usb2="00000000" w:usb3="00000000" w:csb0="20000193" w:csb1="00000000"/>
  </w:font>
  <w:font w:name="ＭＳ 明朝">
    <w:altName w:val="Quicksand Ligh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770839"/>
    <w:multiLevelType w:val="singleLevel"/>
    <w:tmpl w:val="BF77083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9FEE7866"/>
    <w:rsid w:val="F7BF10C0"/>
    <w:rsid w:val="FCEFE2A3"/>
    <w:rsid w:val="FFEFE08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00" w:line="259" w:lineRule="auto"/>
    </w:pPr>
    <w:rPr>
      <w:rFonts w:ascii="Arial" w:hAnsi="Arial" w:eastAsiaTheme="minorEastAsia" w:cstheme="minorBidi"/>
      <w:color w:val="000000"/>
      <w:sz w:val="20"/>
      <w:szCs w:val="22"/>
      <w:lang w:val="en-US" w:eastAsia="en-US" w:bidi="ar-SA"/>
    </w:rPr>
  </w:style>
  <w:style w:type="paragraph" w:styleId="2">
    <w:name w:val="heading 1"/>
    <w:basedOn w:val="1"/>
    <w:next w:val="1"/>
    <w:link w:val="138"/>
    <w:qFormat/>
    <w:uiPriority w:val="9"/>
    <w:pPr>
      <w:keepNext/>
      <w:keepLines/>
      <w:spacing w:before="160" w:after="60"/>
      <w:outlineLvl w:val="0"/>
    </w:pPr>
    <w:rPr>
      <w:rFonts w:asciiTheme="majorHAnsi" w:hAnsiTheme="majorHAnsi" w:eastAsiaTheme="majorEastAsia" w:cstheme="majorBidi"/>
      <w:b/>
      <w:bCs/>
      <w:color w:val="000000"/>
      <w:sz w:val="26"/>
      <w:szCs w:val="28"/>
    </w:rPr>
  </w:style>
  <w:style w:type="paragraph" w:styleId="3">
    <w:name w:val="heading 2"/>
    <w:basedOn w:val="1"/>
    <w:next w:val="1"/>
    <w:link w:val="139"/>
    <w:unhideWhenUsed/>
    <w:qFormat/>
    <w:uiPriority w:val="9"/>
    <w:pPr>
      <w:keepNext/>
      <w:keepLines/>
      <w:spacing w:before="160" w:after="60"/>
      <w:outlineLvl w:val="1"/>
    </w:pPr>
    <w:rPr>
      <w:rFonts w:asciiTheme="majorHAnsi" w:hAnsiTheme="majorHAnsi" w:eastAsiaTheme="majorEastAsia" w:cstheme="majorBidi"/>
      <w:b/>
      <w:bCs/>
      <w:color w:val="000000"/>
      <w:sz w:val="22"/>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TotalTime>
  <ScaleCrop>false</ScaleCrop>
  <LinksUpToDate>false</LinksUpToDate>
  <CharactersWithSpaces>0</CharactersWithSpaces>
  <Application>WPS Office_11.1.0.11733_F1E327BC-269C-435d-A152-05C5408002CA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2013-12-24T11:15:00Z</dcterms:created>
  <dc:creator>python-docx</dc:creator>
  <dc:description>generated by python-docx</dc:description>
  <cp:lastModifiedBy>krystals</cp:lastModifiedBy>
  <dcterms:modified xsi:type="dcterms:W3CDTF">2026-10-09T22:44:43Z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