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E165" w14:textId="134E4241" w:rsidR="002F3739" w:rsidRDefault="002F3739" w:rsidP="002F3739">
      <w:pPr>
        <w:spacing w:after="40"/>
        <w:jc w:val="center"/>
        <w:rPr>
          <w:b/>
          <w:bCs/>
          <w:color w:val="1F1F1F"/>
          <w:sz w:val="34"/>
          <w:szCs w:val="34"/>
        </w:rPr>
      </w:pPr>
      <w:r>
        <w:rPr>
          <w:b/>
          <w:bCs/>
          <w:color w:val="1F1F1F"/>
          <w:sz w:val="34"/>
          <w:szCs w:val="34"/>
        </w:rPr>
        <w:t>BSE4104 Emerging Trends in Software Engineering</w:t>
      </w:r>
    </w:p>
    <w:p w14:paraId="7E05BCC5" w14:textId="77777777" w:rsidR="002F3739" w:rsidRDefault="002F3739" w:rsidP="002F3739">
      <w:pPr>
        <w:spacing w:after="40"/>
        <w:jc w:val="center"/>
        <w:rPr>
          <w:b/>
          <w:bCs/>
          <w:color w:val="1F1F1F"/>
          <w:sz w:val="34"/>
          <w:szCs w:val="34"/>
        </w:rPr>
      </w:pPr>
    </w:p>
    <w:p w14:paraId="7C3940C7" w14:textId="7B08071C" w:rsidR="002F3739" w:rsidRDefault="002F3739" w:rsidP="002F3739">
      <w:pPr>
        <w:spacing w:after="40"/>
        <w:jc w:val="center"/>
        <w:rPr>
          <w:b/>
          <w:bCs/>
          <w:color w:val="1F1F1F"/>
          <w:sz w:val="34"/>
          <w:szCs w:val="34"/>
        </w:rPr>
      </w:pPr>
      <w:r>
        <w:rPr>
          <w:b/>
          <w:bCs/>
          <w:color w:val="1F1F1F"/>
          <w:sz w:val="34"/>
          <w:szCs w:val="34"/>
        </w:rPr>
        <w:t>GROUP B -EVENING CLASS</w:t>
      </w:r>
    </w:p>
    <w:p w14:paraId="25DB7550" w14:textId="77777777" w:rsidR="002F3739" w:rsidRDefault="002F3739" w:rsidP="002F3739">
      <w:pPr>
        <w:spacing w:after="40"/>
        <w:jc w:val="center"/>
        <w:rPr>
          <w:b/>
          <w:bCs/>
          <w:color w:val="1F1F1F"/>
          <w:sz w:val="34"/>
          <w:szCs w:val="34"/>
        </w:rPr>
      </w:pPr>
    </w:p>
    <w:p w14:paraId="47FD66F2" w14:textId="7E267ECD" w:rsidR="002F3739" w:rsidRDefault="00000000" w:rsidP="002F3739">
      <w:pPr>
        <w:spacing w:after="40"/>
        <w:jc w:val="center"/>
        <w:rPr>
          <w:b/>
          <w:bCs/>
          <w:color w:val="8A6D00"/>
          <w:sz w:val="24"/>
          <w:szCs w:val="24"/>
        </w:rPr>
      </w:pPr>
      <w:r>
        <w:rPr>
          <w:b/>
          <w:bCs/>
          <w:color w:val="1F1F1F"/>
          <w:sz w:val="34"/>
          <w:szCs w:val="34"/>
        </w:rPr>
        <w:t>Week 2 Progress Report</w:t>
      </w:r>
      <w:r w:rsidR="002F3739">
        <w:rPr>
          <w:b/>
          <w:bCs/>
          <w:color w:val="1F1F1F"/>
          <w:sz w:val="34"/>
          <w:szCs w:val="34"/>
        </w:rPr>
        <w:t xml:space="preserve">: </w:t>
      </w:r>
      <w:r w:rsidR="002F3739">
        <w:t xml:space="preserve"> </w:t>
      </w:r>
      <w:r w:rsidRPr="002F3739">
        <w:rPr>
          <w:b/>
          <w:bCs/>
          <w:sz w:val="28"/>
          <w:szCs w:val="28"/>
        </w:rPr>
        <w:t>Centenary Bank Customer Support AI</w:t>
      </w:r>
      <w:r w:rsidR="002F3739" w:rsidRPr="002F3739">
        <w:rPr>
          <w:b/>
          <w:bCs/>
          <w:sz w:val="28"/>
          <w:szCs w:val="28"/>
        </w:rPr>
        <w:t xml:space="preserve"> Agent</w:t>
      </w:r>
    </w:p>
    <w:p w14:paraId="2767C71E" w14:textId="77777777" w:rsidR="002F3739" w:rsidRDefault="002F3739" w:rsidP="002F3739">
      <w:pPr>
        <w:spacing w:after="40"/>
        <w:jc w:val="center"/>
        <w:rPr>
          <w:color w:val="595959"/>
          <w:sz w:val="19"/>
          <w:szCs w:val="19"/>
        </w:rPr>
      </w:pPr>
    </w:p>
    <w:p w14:paraId="7A759E13" w14:textId="2DAA1435" w:rsidR="002F3739" w:rsidRPr="002F3739" w:rsidRDefault="002F3739" w:rsidP="002F3739">
      <w:pPr>
        <w:spacing w:after="40"/>
        <w:jc w:val="center"/>
        <w:rPr>
          <w:b/>
          <w:bCs/>
          <w:color w:val="8A6D00"/>
          <w:sz w:val="32"/>
          <w:szCs w:val="32"/>
        </w:rPr>
      </w:pPr>
      <w:r w:rsidRPr="002F3739">
        <w:rPr>
          <w:color w:val="595959"/>
          <w:sz w:val="32"/>
          <w:szCs w:val="32"/>
        </w:rPr>
        <w:t xml:space="preserve">Week: </w:t>
      </w:r>
      <w:r w:rsidRPr="002F3739">
        <w:rPr>
          <w:color w:val="595959"/>
          <w:sz w:val="32"/>
          <w:szCs w:val="32"/>
        </w:rPr>
        <w:t>7–11 September 2026</w:t>
      </w:r>
    </w:p>
    <w:p w14:paraId="2863BC6B" w14:textId="77777777" w:rsidR="002F3739" w:rsidRDefault="002F3739">
      <w:pPr>
        <w:spacing w:after="40"/>
        <w:rPr>
          <w:b/>
          <w:bCs/>
          <w:color w:val="8A6D00"/>
          <w:sz w:val="24"/>
          <w:szCs w:val="24"/>
        </w:rPr>
      </w:pPr>
    </w:p>
    <w:p w14:paraId="4B93E4FE" w14:textId="2AC91C10" w:rsidR="00D678AB" w:rsidRPr="00775E43" w:rsidRDefault="00000000">
      <w:pPr>
        <w:pStyle w:val="Heading2"/>
        <w:pBdr>
          <w:bottom w:val="single" w:sz="6" w:space="2" w:color="8A6D00"/>
        </w:pBdr>
        <w:spacing w:before="140" w:after="50"/>
        <w:rPr>
          <w:color w:val="000000" w:themeColor="text1"/>
        </w:rPr>
      </w:pPr>
      <w:r w:rsidRPr="00775E43">
        <w:rPr>
          <w:b/>
          <w:bCs/>
          <w:color w:val="000000" w:themeColor="text1"/>
          <w:sz w:val="22"/>
          <w:szCs w:val="22"/>
        </w:rPr>
        <w:t xml:space="preserve">Team Contributions </w:t>
      </w:r>
    </w:p>
    <w:p w14:paraId="03C4AFBB" w14:textId="4A9B9F7D" w:rsidR="00D678AB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F1F"/>
        </w:rPr>
        <w:t>Yusuf Mugoya</w:t>
      </w:r>
      <w:r w:rsidR="002F3739">
        <w:rPr>
          <w:b/>
          <w:bCs/>
          <w:color w:val="1F1F1F"/>
        </w:rPr>
        <w:t xml:space="preserve">: </w:t>
      </w:r>
      <w:r>
        <w:rPr>
          <w:color w:val="1F1F1F"/>
        </w:rPr>
        <w:t>Foundation Model Selection</w:t>
      </w:r>
    </w:p>
    <w:p w14:paraId="2B96490A" w14:textId="4FCC363C" w:rsidR="00D678AB" w:rsidRDefault="002F3739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F1F"/>
        </w:rPr>
        <w:t xml:space="preserve">Walusimbi </w:t>
      </w:r>
      <w:r w:rsidR="00000000">
        <w:rPr>
          <w:b/>
          <w:bCs/>
          <w:color w:val="1F1F1F"/>
        </w:rPr>
        <w:t>Ashraf</w:t>
      </w:r>
      <w:r>
        <w:rPr>
          <w:b/>
          <w:bCs/>
          <w:color w:val="1F1F1F"/>
        </w:rPr>
        <w:t xml:space="preserve">: </w:t>
      </w:r>
      <w:r w:rsidR="00000000">
        <w:rPr>
          <w:b/>
          <w:bCs/>
          <w:color w:val="1F1F1F"/>
        </w:rPr>
        <w:t xml:space="preserve"> </w:t>
      </w:r>
      <w:r w:rsidR="00000000">
        <w:rPr>
          <w:color w:val="1F1F1F"/>
        </w:rPr>
        <w:t xml:space="preserve">Prompt Specification </w:t>
      </w:r>
    </w:p>
    <w:p w14:paraId="04294E83" w14:textId="33D6FC98" w:rsidR="002F3739" w:rsidRPr="002F3739" w:rsidRDefault="00000000" w:rsidP="002F3739">
      <w:pPr>
        <w:pStyle w:val="ListParagraph"/>
        <w:numPr>
          <w:ilvl w:val="0"/>
          <w:numId w:val="2"/>
        </w:numPr>
        <w:spacing w:after="40"/>
      </w:pPr>
      <w:r w:rsidRPr="002F3739">
        <w:rPr>
          <w:b/>
          <w:bCs/>
          <w:color w:val="1F1F1F"/>
        </w:rPr>
        <w:t>Mariam Wambui</w:t>
      </w:r>
      <w:r w:rsidR="002F3739" w:rsidRPr="002F3739">
        <w:rPr>
          <w:b/>
          <w:bCs/>
          <w:color w:val="1F1F1F"/>
        </w:rPr>
        <w:t>:</w:t>
      </w:r>
      <w:r w:rsidRPr="002F3739">
        <w:rPr>
          <w:b/>
          <w:bCs/>
          <w:color w:val="1F1F1F"/>
        </w:rPr>
        <w:t xml:space="preserve"> </w:t>
      </w:r>
      <w:r w:rsidRPr="002F3739">
        <w:rPr>
          <w:color w:val="1F1F1F"/>
        </w:rPr>
        <w:t>10-case evaluation table</w:t>
      </w:r>
      <w:r w:rsidRPr="002F3739">
        <w:rPr>
          <w:i/>
          <w:iCs/>
          <w:color w:val="595959"/>
        </w:rPr>
        <w:t xml:space="preserve">  </w:t>
      </w:r>
    </w:p>
    <w:p w14:paraId="3236733D" w14:textId="48CA06A9" w:rsidR="00D678AB" w:rsidRPr="00C2626D" w:rsidRDefault="002F3739" w:rsidP="002F3739">
      <w:pPr>
        <w:pStyle w:val="ListParagraph"/>
        <w:numPr>
          <w:ilvl w:val="0"/>
          <w:numId w:val="2"/>
        </w:numPr>
        <w:spacing w:after="40"/>
      </w:pPr>
      <w:r w:rsidRPr="002F3739">
        <w:rPr>
          <w:b/>
          <w:bCs/>
          <w:color w:val="1F1F1F"/>
        </w:rPr>
        <w:t xml:space="preserve">Ssenoga </w:t>
      </w:r>
      <w:r w:rsidR="00000000" w:rsidRPr="002F3739">
        <w:rPr>
          <w:b/>
          <w:bCs/>
          <w:color w:val="1F1F1F"/>
        </w:rPr>
        <w:t>Herman</w:t>
      </w:r>
      <w:r w:rsidRPr="002F3739">
        <w:rPr>
          <w:b/>
          <w:bCs/>
          <w:color w:val="1F1F1F"/>
        </w:rPr>
        <w:t xml:space="preserve">: </w:t>
      </w:r>
      <w:r w:rsidR="00000000" w:rsidRPr="002F3739">
        <w:rPr>
          <w:color w:val="1F1F1F"/>
        </w:rPr>
        <w:t xml:space="preserve">Week 2 progress report </w:t>
      </w:r>
    </w:p>
    <w:p w14:paraId="6891F817" w14:textId="77777777" w:rsidR="00C2626D" w:rsidRDefault="00C2626D" w:rsidP="00C2626D">
      <w:pPr>
        <w:spacing w:after="40"/>
      </w:pPr>
    </w:p>
    <w:p w14:paraId="6DEFA886" w14:textId="77777777" w:rsidR="00D678AB" w:rsidRPr="00F138B5" w:rsidRDefault="00000000">
      <w:pPr>
        <w:pStyle w:val="Heading2"/>
        <w:pBdr>
          <w:bottom w:val="single" w:sz="6" w:space="2" w:color="8A6D00"/>
        </w:pBdr>
        <w:spacing w:before="140" w:after="50"/>
        <w:rPr>
          <w:color w:val="000000" w:themeColor="text1"/>
        </w:rPr>
      </w:pPr>
      <w:r w:rsidRPr="00F138B5">
        <w:rPr>
          <w:b/>
          <w:bCs/>
          <w:color w:val="000000" w:themeColor="text1"/>
          <w:sz w:val="22"/>
          <w:szCs w:val="22"/>
        </w:rPr>
        <w:t>Weekly Focus</w:t>
      </w:r>
    </w:p>
    <w:p w14:paraId="1E2113D1" w14:textId="77777777" w:rsidR="00D678AB" w:rsidRPr="00F138B5" w:rsidRDefault="00000000">
      <w:pPr>
        <w:spacing w:after="70"/>
        <w:rPr>
          <w:color w:val="000000" w:themeColor="text1"/>
        </w:rPr>
      </w:pPr>
      <w:r w:rsidRPr="00F138B5">
        <w:rPr>
          <w:i/>
          <w:iCs/>
          <w:color w:val="000000" w:themeColor="text1"/>
        </w:rPr>
        <w:t>“Build the smallest useful model-backed capability and establish a tested baseline before adding RAG or agents.”</w:t>
      </w:r>
    </w:p>
    <w:p w14:paraId="76020B92" w14:textId="77777777" w:rsidR="00D678AB" w:rsidRDefault="00000000">
      <w:pPr>
        <w:spacing w:after="70"/>
        <w:rPr>
          <w:color w:val="1F1F1F"/>
        </w:rPr>
      </w:pPr>
      <w:r>
        <w:rPr>
          <w:color w:val="1F1F1F"/>
        </w:rPr>
        <w:t>This week the team integrated a foundation model into the Centenary helpdesk prototype, wrote and installed a versioned system prompt, and ran a baseline evaluation against it. No retrieval, tools, or human handoff were added — that is scoped for later weeks.</w:t>
      </w:r>
    </w:p>
    <w:p w14:paraId="7F73BB70" w14:textId="77777777" w:rsidR="00C2626D" w:rsidRDefault="00C2626D">
      <w:pPr>
        <w:spacing w:after="70"/>
      </w:pPr>
    </w:p>
    <w:p w14:paraId="4782C74A" w14:textId="77777777" w:rsidR="00D678AB" w:rsidRPr="00F138B5" w:rsidRDefault="00000000">
      <w:pPr>
        <w:pStyle w:val="Heading2"/>
        <w:pBdr>
          <w:bottom w:val="single" w:sz="6" w:space="2" w:color="8A6D00"/>
        </w:pBdr>
        <w:spacing w:before="140" w:after="50"/>
        <w:rPr>
          <w:color w:val="000000" w:themeColor="text1"/>
        </w:rPr>
      </w:pPr>
      <w:r w:rsidRPr="00F138B5">
        <w:rPr>
          <w:b/>
          <w:bCs/>
          <w:color w:val="000000" w:themeColor="text1"/>
          <w:sz w:val="22"/>
          <w:szCs w:val="22"/>
        </w:rPr>
        <w:t>1. Model Selection</w:t>
      </w:r>
    </w:p>
    <w:p w14:paraId="7F244768" w14:textId="61819A91" w:rsidR="00D678AB" w:rsidRDefault="00000000">
      <w:pPr>
        <w:spacing w:after="70"/>
        <w:rPr>
          <w:color w:val="1F1F1F"/>
        </w:rPr>
      </w:pPr>
      <w:r>
        <w:rPr>
          <w:color w:val="1F1F1F"/>
        </w:rPr>
        <w:t xml:space="preserve">The team selected </w:t>
      </w:r>
      <w:r>
        <w:rPr>
          <w:b/>
          <w:bCs/>
          <w:color w:val="1F1F1F"/>
        </w:rPr>
        <w:t>Google Gemini (gemini-2.0 Flash)</w:t>
      </w:r>
      <w:r>
        <w:rPr>
          <w:color w:val="1F1F1F"/>
        </w:rPr>
        <w:t xml:space="preserve"> via the Google AI Studio API, chosen for a generous no-cost tier (no billing risk for an 8-week student project), native function/tool-calling support needed for Week 4 ticket integration, and a context window well beyond the helpdesk corpus size. Latency is logged per request rather than estimated from vendor claims.</w:t>
      </w:r>
      <w:r w:rsidR="00C2626D">
        <w:rPr>
          <w:color w:val="1F1F1F"/>
        </w:rPr>
        <w:t xml:space="preserve"> </w:t>
      </w:r>
      <w:r>
        <w:rPr>
          <w:color w:val="1F1F1F"/>
        </w:rPr>
        <w:t>Full detail is in the accompanying Model Selection Note.</w:t>
      </w:r>
    </w:p>
    <w:p w14:paraId="3F9D1F47" w14:textId="77777777" w:rsidR="00C2626D" w:rsidRDefault="00C2626D">
      <w:pPr>
        <w:spacing w:after="70"/>
      </w:pPr>
    </w:p>
    <w:p w14:paraId="2DD465B5" w14:textId="77777777" w:rsidR="00D678AB" w:rsidRPr="00C2626D" w:rsidRDefault="00000000">
      <w:pPr>
        <w:pStyle w:val="Heading2"/>
        <w:pBdr>
          <w:bottom w:val="single" w:sz="6" w:space="2" w:color="8A6D00"/>
        </w:pBdr>
        <w:spacing w:before="140" w:after="50"/>
        <w:rPr>
          <w:color w:val="000000" w:themeColor="text1"/>
        </w:rPr>
      </w:pPr>
      <w:r w:rsidRPr="00C2626D">
        <w:rPr>
          <w:b/>
          <w:bCs/>
          <w:color w:val="000000" w:themeColor="text1"/>
          <w:sz w:val="22"/>
          <w:szCs w:val="22"/>
        </w:rPr>
        <w:t>2. Prompt Specification and Versioning</w:t>
      </w:r>
    </w:p>
    <w:p w14:paraId="484E8D39" w14:textId="77777777" w:rsidR="00D678AB" w:rsidRDefault="00000000">
      <w:pPr>
        <w:spacing w:after="70"/>
      </w:pPr>
      <w:r>
        <w:rPr>
          <w:color w:val="1F1F1F"/>
        </w:rPr>
        <w:t>Prompt Specification v1.0 defines the assistant's role, task, context, constraints, output format, and a failure-behaviour table covering ambiguous requests, unverifiable bank-specific facts, out-of-scope questions, prohibited or unavailable actions, fraud/dispute cases, rule-override attempts, and empty input, timeout, rate-limit, and other API failures (the latter three handled by application code, not the prompt).</w:t>
      </w:r>
    </w:p>
    <w:p w14:paraId="088C8D97" w14:textId="06632F73" w:rsidR="00D678AB" w:rsidRDefault="00000000">
      <w:pPr>
        <w:spacing w:after="70"/>
        <w:rPr>
          <w:color w:val="1F1F1F"/>
        </w:rPr>
      </w:pPr>
      <w:r>
        <w:rPr>
          <w:color w:val="1F1F1F"/>
        </w:rPr>
        <w:t xml:space="preserve">The corresponding system prompt is installed in </w:t>
      </w:r>
      <w:r>
        <w:rPr>
          <w:b/>
          <w:bCs/>
          <w:color w:val="1F1F1F"/>
        </w:rPr>
        <w:t>SYSTEM_PROMPT</w:t>
      </w:r>
      <w:r>
        <w:rPr>
          <w:color w:val="1F1F1F"/>
        </w:rPr>
        <w:t xml:space="preserve"> (services/geminiService.js) and was matched to the v1.0 snapshot on 11 September 2026. At least two earlier iterations a baseline prompt and a banking-only correction are preserved alongside v1.0 in prompts/versions/, with </w:t>
      </w:r>
      <w:r w:rsidR="00846810">
        <w:rPr>
          <w:color w:val="1F1F1F"/>
        </w:rPr>
        <w:t>evidence</w:t>
      </w:r>
      <w:r>
        <w:rPr>
          <w:color w:val="1F1F1F"/>
        </w:rPr>
        <w:t xml:space="preserve"> recorded in prompts/README.md, satisfying the requirement to version at least two meaningful prompt iterations.</w:t>
      </w:r>
    </w:p>
    <w:p w14:paraId="3B77F064" w14:textId="77777777" w:rsidR="00846810" w:rsidRDefault="00846810">
      <w:pPr>
        <w:spacing w:after="70"/>
      </w:pPr>
    </w:p>
    <w:p w14:paraId="628ED9F5" w14:textId="1D4C6CF7" w:rsidR="00846810" w:rsidRDefault="00000000">
      <w:pPr>
        <w:pStyle w:val="Heading2"/>
        <w:pBdr>
          <w:bottom w:val="single" w:sz="6" w:space="2" w:color="8A6D00"/>
        </w:pBdr>
        <w:spacing w:before="140" w:after="50"/>
        <w:rPr>
          <w:b/>
          <w:bCs/>
          <w:color w:val="000000" w:themeColor="text1"/>
          <w:sz w:val="22"/>
          <w:szCs w:val="22"/>
        </w:rPr>
      </w:pPr>
      <w:r w:rsidRPr="00846810">
        <w:rPr>
          <w:b/>
          <w:bCs/>
          <w:color w:val="000000" w:themeColor="text1"/>
          <w:sz w:val="22"/>
          <w:szCs w:val="22"/>
        </w:rPr>
        <w:t>3. Baseline Integration</w:t>
      </w:r>
    </w:p>
    <w:p w14:paraId="636A8115" w14:textId="6D022CDF" w:rsidR="00D678AB" w:rsidRDefault="00000000">
      <w:pPr>
        <w:spacing w:after="70"/>
        <w:rPr>
          <w:color w:val="1F1F1F"/>
        </w:rPr>
      </w:pPr>
      <w:r>
        <w:rPr>
          <w:color w:val="1F1F1F"/>
        </w:rPr>
        <w:t>The chat route and Gemini service send the system prompt plus a single user message per request, with no conversation history, document retrieval, live account data, or human-handoff mechanism matching the Week 2 single-turn baseline scope. Application-level handling is in place for empty input (HTTP 400), model timeout (HTTP 504 at a 60-second limit), rate limiting (HTTP 429), and other model failures (HTTP 502).</w:t>
      </w:r>
    </w:p>
    <w:p w14:paraId="573AF644" w14:textId="77777777" w:rsidR="00846810" w:rsidRDefault="00846810">
      <w:pPr>
        <w:spacing w:after="70"/>
      </w:pPr>
    </w:p>
    <w:p w14:paraId="07E6F426" w14:textId="77777777" w:rsidR="00D678AB" w:rsidRPr="00846810" w:rsidRDefault="00000000">
      <w:pPr>
        <w:pStyle w:val="Heading2"/>
        <w:pBdr>
          <w:bottom w:val="single" w:sz="6" w:space="2" w:color="8A6D00"/>
        </w:pBdr>
        <w:spacing w:before="140" w:after="50"/>
        <w:rPr>
          <w:color w:val="000000" w:themeColor="text1"/>
        </w:rPr>
      </w:pPr>
      <w:r w:rsidRPr="00846810">
        <w:rPr>
          <w:b/>
          <w:bCs/>
          <w:color w:val="000000" w:themeColor="text1"/>
          <w:sz w:val="22"/>
          <w:szCs w:val="22"/>
        </w:rPr>
        <w:t>4. Baseline Evaluation</w:t>
      </w:r>
    </w:p>
    <w:p w14:paraId="42311066" w14:textId="6386006A" w:rsidR="00D678AB" w:rsidRDefault="00000000">
      <w:pPr>
        <w:spacing w:after="70"/>
        <w:rPr>
          <w:color w:val="1F1F1F"/>
        </w:rPr>
      </w:pPr>
      <w:r>
        <w:rPr>
          <w:color w:val="1F1F1F"/>
        </w:rPr>
        <w:t>Eleven cases were run against prompt v1.0: greeting/scope identification, an out-of-scope university request, a general banking explanation, an unverifiable account-opening requirement, an exact-fee question, an account balance inquiry, a ticket-creation request, a suspected-fraud case, an instruction-override attempt, an ambiguous request, and empty-input validation. All 11 passed the model consistently declined unauthorized or out-of-scope actions, avoided inventing bank-specific facts, and redirected sensitive cases to official Centenary Bank channels. Full inputs, expected behaviour, and actual responses are in the accompanying 10-Case Prompt Evaluation Table.</w:t>
      </w:r>
    </w:p>
    <w:p w14:paraId="4FCFD8A5" w14:textId="77777777" w:rsidR="00846810" w:rsidRDefault="00846810">
      <w:pPr>
        <w:spacing w:after="70"/>
      </w:pPr>
    </w:p>
    <w:p w14:paraId="6F4EF48A" w14:textId="193C0CC8" w:rsidR="00D678AB" w:rsidRPr="00846810" w:rsidRDefault="00000000">
      <w:pPr>
        <w:pStyle w:val="Heading2"/>
        <w:pBdr>
          <w:bottom w:val="single" w:sz="6" w:space="2" w:color="8A6D00"/>
        </w:pBdr>
        <w:spacing w:before="140" w:after="50"/>
        <w:rPr>
          <w:color w:val="000000" w:themeColor="text1"/>
        </w:rPr>
      </w:pPr>
      <w:r w:rsidRPr="00846810">
        <w:rPr>
          <w:b/>
          <w:bCs/>
          <w:color w:val="000000" w:themeColor="text1"/>
          <w:sz w:val="22"/>
          <w:szCs w:val="22"/>
        </w:rPr>
        <w:lastRenderedPageBreak/>
        <w:t xml:space="preserve">5. Limitations and Risks Carried </w:t>
      </w:r>
      <w:r w:rsidR="00133695">
        <w:rPr>
          <w:b/>
          <w:bCs/>
          <w:color w:val="000000" w:themeColor="text1"/>
          <w:sz w:val="22"/>
          <w:szCs w:val="22"/>
        </w:rPr>
        <w:t xml:space="preserve">in </w:t>
      </w:r>
      <w:r w:rsidRPr="00846810">
        <w:rPr>
          <w:b/>
          <w:bCs/>
          <w:color w:val="000000" w:themeColor="text1"/>
          <w:sz w:val="22"/>
          <w:szCs w:val="22"/>
        </w:rPr>
        <w:t>to Week 3</w:t>
      </w:r>
    </w:p>
    <w:p w14:paraId="43084A05" w14:textId="368C7139" w:rsidR="00D678A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No document retrieval yet every response is an isolated single turn, so the model cannot verify or recall bank-specific facts.</w:t>
      </w:r>
    </w:p>
    <w:p w14:paraId="300C6D45" w14:textId="77777777" w:rsidR="00D678A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Evaluation results reflect manual review of 11 cases rather than automated regression testing.</w:t>
      </w:r>
    </w:p>
    <w:p w14:paraId="67C8C688" w14:textId="77777777" w:rsidR="00D678AB" w:rsidRPr="00846810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Free-tier rate limits could throttle demo traffic if usage spikes beyond development-scale testing.</w:t>
      </w:r>
    </w:p>
    <w:p w14:paraId="16388554" w14:textId="77777777" w:rsidR="00846810" w:rsidRDefault="00846810" w:rsidP="00846810">
      <w:pPr>
        <w:spacing w:after="40"/>
      </w:pPr>
    </w:p>
    <w:p w14:paraId="1C7540C6" w14:textId="77777777" w:rsidR="00D678AB" w:rsidRPr="00846810" w:rsidRDefault="00000000">
      <w:pPr>
        <w:pStyle w:val="Heading2"/>
        <w:pBdr>
          <w:bottom w:val="single" w:sz="6" w:space="2" w:color="8A6D00"/>
        </w:pBdr>
        <w:spacing w:before="140" w:after="50"/>
        <w:rPr>
          <w:color w:val="000000" w:themeColor="text1"/>
        </w:rPr>
      </w:pPr>
      <w:r w:rsidRPr="00846810">
        <w:rPr>
          <w:b/>
          <w:bCs/>
          <w:color w:val="000000" w:themeColor="text1"/>
          <w:sz w:val="22"/>
          <w:szCs w:val="22"/>
        </w:rPr>
        <w:t>6. Next Steps (Week 3 Preview)</w:t>
      </w:r>
    </w:p>
    <w:p w14:paraId="5942BEF3" w14:textId="77777777" w:rsidR="00D678A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Introduce retrieval (RAG) over approved helpdesk documents so bank-specific answers can be grounded rather than deferred to official channels.</w:t>
      </w:r>
    </w:p>
    <w:p w14:paraId="70A45401" w14:textId="3BBA8E04" w:rsidR="00D678AB" w:rsidRDefault="00E61C4C">
      <w:pPr>
        <w:pStyle w:val="ListParagraph"/>
        <w:numPr>
          <w:ilvl w:val="0"/>
          <w:numId w:val="2"/>
        </w:numPr>
        <w:spacing w:after="40"/>
      </w:pPr>
      <w:r w:rsidRPr="00E61C4C">
        <w:t>Make the application answer from a controlled, traceable knowledge source instead of relying only on model memory.</w:t>
      </w:r>
    </w:p>
    <w:p w14:paraId="6B37A17F" w14:textId="633D9F07" w:rsidR="00D678AB" w:rsidRDefault="00D678AB" w:rsidP="00E61C4C">
      <w:pPr>
        <w:pStyle w:val="ListParagraph"/>
        <w:spacing w:after="40"/>
        <w:ind w:left="403"/>
      </w:pPr>
    </w:p>
    <w:sectPr w:rsidR="00D678AB">
      <w:pgSz w:w="11906" w:h="16838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53DE5"/>
    <w:multiLevelType w:val="hybridMultilevel"/>
    <w:tmpl w:val="7BD88D88"/>
    <w:lvl w:ilvl="0" w:tplc="FB5E0D16">
      <w:start w:val="1"/>
      <w:numFmt w:val="bullet"/>
      <w:lvlText w:val="•"/>
      <w:lvlJc w:val="left"/>
      <w:pPr>
        <w:ind w:left="403" w:hanging="259"/>
      </w:pPr>
    </w:lvl>
    <w:lvl w:ilvl="1" w:tplc="598A7496">
      <w:start w:val="1"/>
      <w:numFmt w:val="bullet"/>
      <w:lvlText w:val="◦"/>
      <w:lvlJc w:val="left"/>
      <w:pPr>
        <w:ind w:left="792" w:hanging="259"/>
      </w:pPr>
    </w:lvl>
    <w:lvl w:ilvl="2" w:tplc="00A04BEA">
      <w:numFmt w:val="decimal"/>
      <w:lvlText w:val=""/>
      <w:lvlJc w:val="left"/>
    </w:lvl>
    <w:lvl w:ilvl="3" w:tplc="AECA2FB4">
      <w:numFmt w:val="decimal"/>
      <w:lvlText w:val=""/>
      <w:lvlJc w:val="left"/>
    </w:lvl>
    <w:lvl w:ilvl="4" w:tplc="6E60E114">
      <w:numFmt w:val="decimal"/>
      <w:lvlText w:val=""/>
      <w:lvlJc w:val="left"/>
    </w:lvl>
    <w:lvl w:ilvl="5" w:tplc="6D20D39C">
      <w:numFmt w:val="decimal"/>
      <w:lvlText w:val=""/>
      <w:lvlJc w:val="left"/>
    </w:lvl>
    <w:lvl w:ilvl="6" w:tplc="9F203408">
      <w:numFmt w:val="decimal"/>
      <w:lvlText w:val=""/>
      <w:lvlJc w:val="left"/>
    </w:lvl>
    <w:lvl w:ilvl="7" w:tplc="A1E0A068">
      <w:numFmt w:val="decimal"/>
      <w:lvlText w:val=""/>
      <w:lvlJc w:val="left"/>
    </w:lvl>
    <w:lvl w:ilvl="8" w:tplc="59CA11F6">
      <w:numFmt w:val="decimal"/>
      <w:lvlText w:val=""/>
      <w:lvlJc w:val="left"/>
    </w:lvl>
  </w:abstractNum>
  <w:abstractNum w:abstractNumId="1" w15:restartNumberingAfterBreak="0">
    <w:nsid w:val="6DC15AD6"/>
    <w:multiLevelType w:val="hybridMultilevel"/>
    <w:tmpl w:val="9BCC5442"/>
    <w:lvl w:ilvl="0" w:tplc="E8AE0E86">
      <w:start w:val="1"/>
      <w:numFmt w:val="bullet"/>
      <w:lvlText w:val="●"/>
      <w:lvlJc w:val="left"/>
      <w:pPr>
        <w:ind w:left="720" w:hanging="360"/>
      </w:pPr>
    </w:lvl>
    <w:lvl w:ilvl="1" w:tplc="AECAE7A4">
      <w:start w:val="1"/>
      <w:numFmt w:val="bullet"/>
      <w:lvlText w:val="○"/>
      <w:lvlJc w:val="left"/>
      <w:pPr>
        <w:ind w:left="1440" w:hanging="360"/>
      </w:pPr>
    </w:lvl>
    <w:lvl w:ilvl="2" w:tplc="412A6962">
      <w:start w:val="1"/>
      <w:numFmt w:val="bullet"/>
      <w:lvlText w:val="■"/>
      <w:lvlJc w:val="left"/>
      <w:pPr>
        <w:ind w:left="2160" w:hanging="360"/>
      </w:pPr>
    </w:lvl>
    <w:lvl w:ilvl="3" w:tplc="708C47AA">
      <w:start w:val="1"/>
      <w:numFmt w:val="bullet"/>
      <w:lvlText w:val="●"/>
      <w:lvlJc w:val="left"/>
      <w:pPr>
        <w:ind w:left="2880" w:hanging="360"/>
      </w:pPr>
    </w:lvl>
    <w:lvl w:ilvl="4" w:tplc="A914F1B6">
      <w:start w:val="1"/>
      <w:numFmt w:val="bullet"/>
      <w:lvlText w:val="○"/>
      <w:lvlJc w:val="left"/>
      <w:pPr>
        <w:ind w:left="3600" w:hanging="360"/>
      </w:pPr>
    </w:lvl>
    <w:lvl w:ilvl="5" w:tplc="9220645C">
      <w:start w:val="1"/>
      <w:numFmt w:val="bullet"/>
      <w:lvlText w:val="■"/>
      <w:lvlJc w:val="left"/>
      <w:pPr>
        <w:ind w:left="4320" w:hanging="360"/>
      </w:pPr>
    </w:lvl>
    <w:lvl w:ilvl="6" w:tplc="ABE62952">
      <w:start w:val="1"/>
      <w:numFmt w:val="bullet"/>
      <w:lvlText w:val="●"/>
      <w:lvlJc w:val="left"/>
      <w:pPr>
        <w:ind w:left="5040" w:hanging="360"/>
      </w:pPr>
    </w:lvl>
    <w:lvl w:ilvl="7" w:tplc="9A2630EC">
      <w:start w:val="1"/>
      <w:numFmt w:val="bullet"/>
      <w:lvlText w:val="●"/>
      <w:lvlJc w:val="left"/>
      <w:pPr>
        <w:ind w:left="5760" w:hanging="360"/>
      </w:pPr>
    </w:lvl>
    <w:lvl w:ilvl="8" w:tplc="4A70FE9C">
      <w:start w:val="1"/>
      <w:numFmt w:val="bullet"/>
      <w:lvlText w:val="●"/>
      <w:lvlJc w:val="left"/>
      <w:pPr>
        <w:ind w:left="6480" w:hanging="360"/>
      </w:pPr>
    </w:lvl>
  </w:abstractNum>
  <w:num w:numId="1" w16cid:durableId="240065246">
    <w:abstractNumId w:val="1"/>
    <w:lvlOverride w:ilvl="0">
      <w:startOverride w:val="1"/>
    </w:lvlOverride>
  </w:num>
  <w:num w:numId="2" w16cid:durableId="1638366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8AB"/>
    <w:rsid w:val="00133695"/>
    <w:rsid w:val="002F3739"/>
    <w:rsid w:val="00546161"/>
    <w:rsid w:val="00587C4D"/>
    <w:rsid w:val="00596CEA"/>
    <w:rsid w:val="00775E43"/>
    <w:rsid w:val="00846810"/>
    <w:rsid w:val="00C2626D"/>
    <w:rsid w:val="00D678AB"/>
    <w:rsid w:val="00DD0D90"/>
    <w:rsid w:val="00E61C4C"/>
    <w:rsid w:val="00ED34B2"/>
    <w:rsid w:val="00F1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C0AE5"/>
  <w15:docId w15:val="{D542DFA0-2FF7-4F4A-9ACA-851912B1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Ssenoga Herman</cp:lastModifiedBy>
  <cp:revision>12</cp:revision>
  <dcterms:created xsi:type="dcterms:W3CDTF">2026-09-12T09:25:00Z</dcterms:created>
  <dcterms:modified xsi:type="dcterms:W3CDTF">2026-09-12T10:08:00Z</dcterms:modified>
</cp:coreProperties>
</file>