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CEAE8" w14:textId="1CDC8567" w:rsidR="00072237" w:rsidRPr="00CE2281" w:rsidRDefault="00000000">
      <w:pPr>
        <w:jc w:val="center"/>
        <w:rPr>
          <w:rFonts w:ascii="Times New Roman" w:hAnsi="Times New Roman" w:cs="Times New Roman"/>
          <w:sz w:val="22"/>
        </w:rPr>
      </w:pPr>
      <w:r w:rsidRPr="00CE2281">
        <w:rPr>
          <w:rFonts w:ascii="Times New Roman" w:hAnsi="Times New Roman" w:cs="Times New Roman"/>
          <w:b/>
          <w:sz w:val="22"/>
        </w:rPr>
        <w:t xml:space="preserve">AI BOUNDARY MATRIX </w:t>
      </w:r>
      <w:r w:rsidRPr="00CE2281">
        <w:rPr>
          <w:rFonts w:ascii="Times New Roman" w:hAnsi="Times New Roman" w:cs="Times New Roman"/>
          <w:b/>
          <w:sz w:val="22"/>
        </w:rPr>
        <w:br/>
        <w:t>Proposed</w:t>
      </w:r>
      <w:r w:rsidR="00E60DBC">
        <w:rPr>
          <w:rFonts w:ascii="Times New Roman" w:hAnsi="Times New Roman" w:cs="Times New Roman"/>
          <w:b/>
          <w:sz w:val="22"/>
        </w:rPr>
        <w:t xml:space="preserve"> for</w:t>
      </w:r>
      <w:r w:rsidRPr="00CE2281">
        <w:rPr>
          <w:rFonts w:ascii="Times New Roman" w:hAnsi="Times New Roman" w:cs="Times New Roman"/>
          <w:b/>
          <w:sz w:val="22"/>
        </w:rPr>
        <w:t xml:space="preserve"> Bank Customer Support AI Agent</w:t>
      </w:r>
    </w:p>
    <w:p w14:paraId="03AC19F4" w14:textId="77777777" w:rsidR="00873DE9" w:rsidRDefault="00000000">
      <w:pPr>
        <w:jc w:val="center"/>
        <w:rPr>
          <w:rFonts w:ascii="Times New Roman" w:hAnsi="Times New Roman" w:cs="Times New Roman"/>
          <w:b/>
          <w:sz w:val="22"/>
        </w:rPr>
      </w:pPr>
      <w:r w:rsidRPr="00CE2281">
        <w:rPr>
          <w:rFonts w:ascii="Times New Roman" w:hAnsi="Times New Roman" w:cs="Times New Roman"/>
          <w:b/>
          <w:sz w:val="22"/>
        </w:rPr>
        <w:t>BSE4104 – Emerging Trends in Software Engineering</w:t>
      </w:r>
    </w:p>
    <w:p w14:paraId="6C4CB28D" w14:textId="281ABD4A" w:rsidR="00072237" w:rsidRPr="00CE2281" w:rsidRDefault="00873DE9">
      <w:pPr>
        <w:jc w:val="center"/>
        <w:rPr>
          <w:rFonts w:ascii="Times New Roman" w:hAnsi="Times New Roman" w:cs="Times New Roman"/>
          <w:sz w:val="22"/>
        </w:rPr>
      </w:pPr>
      <w:r>
        <w:rPr>
          <w:rFonts w:ascii="Times New Roman" w:hAnsi="Times New Roman" w:cs="Times New Roman"/>
          <w:b/>
          <w:sz w:val="22"/>
        </w:rPr>
        <w:t>GROUP B-EVENING CLASS</w:t>
      </w:r>
      <w:r w:rsidR="00000000" w:rsidRPr="00CE2281">
        <w:rPr>
          <w:rFonts w:ascii="Times New Roman" w:hAnsi="Times New Roman" w:cs="Times New Roman"/>
          <w:b/>
          <w:sz w:val="22"/>
        </w:rPr>
        <w:br/>
      </w:r>
    </w:p>
    <w:p w14:paraId="556AB731" w14:textId="77777777" w:rsidR="00072237" w:rsidRPr="00046931" w:rsidRDefault="00000000" w:rsidP="00046931">
      <w:pPr>
        <w:rPr>
          <w:rFonts w:ascii="Times New Roman" w:hAnsi="Times New Roman" w:cs="Times New Roman"/>
          <w:sz w:val="22"/>
        </w:rPr>
      </w:pPr>
      <w:r w:rsidRPr="00046931">
        <w:rPr>
          <w:rFonts w:ascii="Times New Roman" w:hAnsi="Times New Roman" w:cs="Times New Roman"/>
          <w:sz w:val="22"/>
        </w:rPr>
        <w:t>1. Purpose and Scope</w:t>
      </w:r>
    </w:p>
    <w:p w14:paraId="7A02C942" w14:textId="44AD81BA" w:rsidR="00072237" w:rsidRPr="00CE2281" w:rsidRDefault="00000000">
      <w:pPr>
        <w:rPr>
          <w:rFonts w:ascii="Times New Roman" w:hAnsi="Times New Roman" w:cs="Times New Roman"/>
          <w:sz w:val="22"/>
        </w:rPr>
      </w:pPr>
      <w:r w:rsidRPr="00CE2281">
        <w:rPr>
          <w:rFonts w:ascii="Times New Roman" w:hAnsi="Times New Roman" w:cs="Times New Roman"/>
          <w:sz w:val="22"/>
        </w:rPr>
        <w:t xml:space="preserve">The proposed </w:t>
      </w:r>
      <w:r w:rsidR="00957DA8">
        <w:rPr>
          <w:rFonts w:ascii="Times New Roman" w:hAnsi="Times New Roman" w:cs="Times New Roman"/>
          <w:sz w:val="22"/>
        </w:rPr>
        <w:t>Bank</w:t>
      </w:r>
      <w:r w:rsidRPr="00CE2281">
        <w:rPr>
          <w:rFonts w:ascii="Times New Roman" w:hAnsi="Times New Roman" w:cs="Times New Roman"/>
          <w:sz w:val="22"/>
        </w:rPr>
        <w:t xml:space="preserve"> Customer Support AI Agent is a customer-facing assistant intended to provide reliable information about selected banking products, services, procedures and support processes; understand natural</w:t>
      </w:r>
      <w:r w:rsidR="00D17D5E">
        <w:rPr>
          <w:rFonts w:ascii="Times New Roman" w:hAnsi="Times New Roman" w:cs="Times New Roman"/>
          <w:sz w:val="22"/>
        </w:rPr>
        <w:t xml:space="preserve"> </w:t>
      </w:r>
      <w:r w:rsidRPr="00CE2281">
        <w:rPr>
          <w:rFonts w:ascii="Times New Roman" w:hAnsi="Times New Roman" w:cs="Times New Roman"/>
          <w:sz w:val="22"/>
        </w:rPr>
        <w:t>language requests; retrieve answers from an approved knowledge base; create and track non-financial customer-support cases; and hand over sensitive, ambiguous, exceptional or financially consequential matters to an authorized human bank officer. The agent is a support and information system, not a banking decision-maker. It may explain products and procedures, but it must not independently approve or reject loans, move money, make payments, change credentials, alter sensitive customer records, provide individualized financial decisions, or access confidential production banking systems</w:t>
      </w:r>
    </w:p>
    <w:p w14:paraId="57EFEFD9" w14:textId="77777777" w:rsidR="00072237" w:rsidRPr="00046931" w:rsidRDefault="00000000" w:rsidP="00046931">
      <w:pPr>
        <w:rPr>
          <w:rFonts w:ascii="Times New Roman" w:hAnsi="Times New Roman" w:cs="Times New Roman"/>
          <w:sz w:val="24"/>
          <w:szCs w:val="24"/>
        </w:rPr>
      </w:pPr>
      <w:r w:rsidRPr="00046931">
        <w:rPr>
          <w:rFonts w:ascii="Times New Roman" w:hAnsi="Times New Roman" w:cs="Times New Roman"/>
          <w:sz w:val="24"/>
          <w:szCs w:val="24"/>
        </w:rPr>
        <w:t>2. Governance Principle</w:t>
      </w:r>
    </w:p>
    <w:p w14:paraId="139C43C2" w14:textId="77777777" w:rsidR="00380C96" w:rsidRPr="00CE2281" w:rsidRDefault="00000000">
      <w:pPr>
        <w:rPr>
          <w:rFonts w:ascii="Times New Roman" w:hAnsi="Times New Roman" w:cs="Times New Roman"/>
          <w:sz w:val="22"/>
        </w:rPr>
      </w:pPr>
      <w:r w:rsidRPr="00CE2281">
        <w:rPr>
          <w:rFonts w:ascii="Times New Roman" w:hAnsi="Times New Roman" w:cs="Times New Roman"/>
          <w:sz w:val="22"/>
        </w:rPr>
        <w:t xml:space="preserve">The boundary matrix separates three kinds of responsibility: </w:t>
      </w:r>
    </w:p>
    <w:p w14:paraId="6ED196A5" w14:textId="77777777" w:rsidR="00380C96" w:rsidRPr="00CE2281" w:rsidRDefault="00000000">
      <w:pPr>
        <w:rPr>
          <w:rFonts w:ascii="Times New Roman" w:hAnsi="Times New Roman" w:cs="Times New Roman"/>
          <w:sz w:val="22"/>
        </w:rPr>
      </w:pPr>
      <w:r w:rsidRPr="00CE2281">
        <w:rPr>
          <w:rFonts w:ascii="Times New Roman" w:hAnsi="Times New Roman" w:cs="Times New Roman"/>
          <w:sz w:val="22"/>
        </w:rPr>
        <w:t xml:space="preserve">(1) AI may perform low-risk interpretation, retrieval, explanation and limited support actions; </w:t>
      </w:r>
    </w:p>
    <w:p w14:paraId="35D8A16B" w14:textId="62E332E0" w:rsidR="00380C96" w:rsidRPr="00CE2281" w:rsidRDefault="00000000">
      <w:pPr>
        <w:rPr>
          <w:rFonts w:ascii="Times New Roman" w:hAnsi="Times New Roman" w:cs="Times New Roman"/>
          <w:sz w:val="22"/>
        </w:rPr>
      </w:pPr>
      <w:r w:rsidRPr="00CE2281">
        <w:rPr>
          <w:rFonts w:ascii="Times New Roman" w:hAnsi="Times New Roman" w:cs="Times New Roman"/>
          <w:sz w:val="22"/>
        </w:rPr>
        <w:t>(2) deterministic software must enforce authentication, authorization, validation, transaction rules, permissions and other hard controls</w:t>
      </w:r>
      <w:r w:rsidR="00380C96" w:rsidRPr="00CE2281">
        <w:rPr>
          <w:rFonts w:ascii="Times New Roman" w:hAnsi="Times New Roman" w:cs="Times New Roman"/>
          <w:sz w:val="22"/>
        </w:rPr>
        <w:t>.</w:t>
      </w:r>
      <w:r w:rsidRPr="00CE2281">
        <w:rPr>
          <w:rFonts w:ascii="Times New Roman" w:hAnsi="Times New Roman" w:cs="Times New Roman"/>
          <w:sz w:val="22"/>
        </w:rPr>
        <w:t xml:space="preserve"> </w:t>
      </w:r>
    </w:p>
    <w:p w14:paraId="2AD12FE0" w14:textId="0DCF88C4" w:rsidR="00072237" w:rsidRPr="00CE2281" w:rsidRDefault="00000000">
      <w:pPr>
        <w:rPr>
          <w:rFonts w:ascii="Times New Roman" w:hAnsi="Times New Roman" w:cs="Times New Roman"/>
          <w:sz w:val="22"/>
        </w:rPr>
      </w:pPr>
      <w:r w:rsidRPr="00CE2281">
        <w:rPr>
          <w:rFonts w:ascii="Times New Roman" w:hAnsi="Times New Roman" w:cs="Times New Roman"/>
          <w:sz w:val="22"/>
        </w:rPr>
        <w:t>(3) human must approve or handle consequential financial, security, privacy, fraud and exceptional decisions. The AI's capability must never be treated as authority.</w:t>
      </w:r>
    </w:p>
    <w:p w14:paraId="36266843" w14:textId="77777777" w:rsidR="00072237" w:rsidRPr="00046931" w:rsidRDefault="00000000" w:rsidP="00046931">
      <w:pPr>
        <w:rPr>
          <w:rFonts w:ascii="Times New Roman" w:hAnsi="Times New Roman" w:cs="Times New Roman"/>
          <w:sz w:val="24"/>
          <w:szCs w:val="24"/>
        </w:rPr>
      </w:pPr>
      <w:r w:rsidRPr="00046931">
        <w:rPr>
          <w:rFonts w:ascii="Times New Roman" w:hAnsi="Times New Roman" w:cs="Times New Roman"/>
          <w:sz w:val="24"/>
          <w:szCs w:val="24"/>
        </w:rPr>
        <w:t>3. AI Autonomy Levels</w:t>
      </w:r>
    </w:p>
    <w:tbl>
      <w:tblPr>
        <w:tblStyle w:val="TableGrid"/>
        <w:tblW w:w="0" w:type="auto"/>
        <w:jc w:val="center"/>
        <w:tblLook w:val="04A0" w:firstRow="1" w:lastRow="0" w:firstColumn="1" w:lastColumn="0" w:noHBand="0" w:noVBand="1"/>
      </w:tblPr>
      <w:tblGrid>
        <w:gridCol w:w="5179"/>
        <w:gridCol w:w="5179"/>
      </w:tblGrid>
      <w:tr w:rsidR="00072237" w:rsidRPr="00CE2281" w14:paraId="4C85DF43" w14:textId="77777777">
        <w:trPr>
          <w:jc w:val="center"/>
        </w:trPr>
        <w:tc>
          <w:tcPr>
            <w:tcW w:w="5184" w:type="dxa"/>
          </w:tcPr>
          <w:p w14:paraId="7A7A9B8B"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Level</w:t>
            </w:r>
          </w:p>
        </w:tc>
        <w:tc>
          <w:tcPr>
            <w:tcW w:w="5184" w:type="dxa"/>
          </w:tcPr>
          <w:p w14:paraId="4CAE0F1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Meaning</w:t>
            </w:r>
          </w:p>
        </w:tc>
      </w:tr>
      <w:tr w:rsidR="00072237" w:rsidRPr="00CE2281" w14:paraId="43F51E5C" w14:textId="77777777">
        <w:trPr>
          <w:jc w:val="center"/>
        </w:trPr>
        <w:tc>
          <w:tcPr>
            <w:tcW w:w="5184" w:type="dxa"/>
          </w:tcPr>
          <w:p w14:paraId="46D2FB7C"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B0 – Prohibited</w:t>
            </w:r>
          </w:p>
        </w:tc>
        <w:tc>
          <w:tcPr>
            <w:tcW w:w="5184" w:type="dxa"/>
          </w:tcPr>
          <w:p w14:paraId="27069E56"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AI must not perform the action and must not possess the corresponding production tool.</w:t>
            </w:r>
          </w:p>
        </w:tc>
      </w:tr>
      <w:tr w:rsidR="00072237" w:rsidRPr="00CE2281" w14:paraId="43E6963C" w14:textId="77777777">
        <w:trPr>
          <w:jc w:val="center"/>
        </w:trPr>
        <w:tc>
          <w:tcPr>
            <w:tcW w:w="5184" w:type="dxa"/>
          </w:tcPr>
          <w:p w14:paraId="2D9A9673"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B1 – AI may do</w:t>
            </w:r>
          </w:p>
        </w:tc>
        <w:tc>
          <w:tcPr>
            <w:tcW w:w="5184" w:type="dxa"/>
          </w:tcPr>
          <w:p w14:paraId="1E8A8A41"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AI may answer or retrieve approved, non-sensitive information without human approval.</w:t>
            </w:r>
          </w:p>
        </w:tc>
      </w:tr>
      <w:tr w:rsidR="00072237" w:rsidRPr="00CE2281" w14:paraId="27123B92" w14:textId="77777777">
        <w:trPr>
          <w:jc w:val="center"/>
        </w:trPr>
        <w:tc>
          <w:tcPr>
            <w:tcW w:w="5184" w:type="dxa"/>
          </w:tcPr>
          <w:p w14:paraId="001E659A"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B2 – AI may assist</w:t>
            </w:r>
          </w:p>
        </w:tc>
        <w:tc>
          <w:tcPr>
            <w:tcW w:w="5184" w:type="dxa"/>
          </w:tcPr>
          <w:p w14:paraId="292C645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AI may explain, classify or prepare information, but a deterministic rule or human remains responsible for the consequential decision.</w:t>
            </w:r>
          </w:p>
        </w:tc>
      </w:tr>
      <w:tr w:rsidR="00072237" w:rsidRPr="00CE2281" w14:paraId="4A0406FD" w14:textId="77777777">
        <w:trPr>
          <w:jc w:val="center"/>
        </w:trPr>
        <w:tc>
          <w:tcPr>
            <w:tcW w:w="5184" w:type="dxa"/>
          </w:tcPr>
          <w:p w14:paraId="0184095D"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B3 – Controlled action</w:t>
            </w:r>
          </w:p>
        </w:tc>
        <w:tc>
          <w:tcPr>
            <w:tcW w:w="5184" w:type="dxa"/>
          </w:tcPr>
          <w:p w14:paraId="4167E68A"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AI may invoke a narrowly scoped support tool such as creating or checking a support ticket, subject to deterministic authorization and data-minimization controls.</w:t>
            </w:r>
          </w:p>
        </w:tc>
      </w:tr>
      <w:tr w:rsidR="00072237" w:rsidRPr="00CE2281" w14:paraId="161DD22F" w14:textId="77777777">
        <w:trPr>
          <w:jc w:val="center"/>
        </w:trPr>
        <w:tc>
          <w:tcPr>
            <w:tcW w:w="5184" w:type="dxa"/>
          </w:tcPr>
          <w:p w14:paraId="178CE876"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B4 – Human approval</w:t>
            </w:r>
          </w:p>
        </w:tc>
        <w:tc>
          <w:tcPr>
            <w:tcW w:w="5184" w:type="dxa"/>
          </w:tcPr>
          <w:p w14:paraId="13BEB476"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AI may prepare a recommendation or case summary, but a human must decide or approve before the consequential action.</w:t>
            </w:r>
          </w:p>
        </w:tc>
      </w:tr>
      <w:tr w:rsidR="00072237" w:rsidRPr="00CE2281" w14:paraId="2B585B5C" w14:textId="77777777">
        <w:trPr>
          <w:jc w:val="center"/>
        </w:trPr>
        <w:tc>
          <w:tcPr>
            <w:tcW w:w="5184" w:type="dxa"/>
          </w:tcPr>
          <w:p w14:paraId="11151B36"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B5 – Human only</w:t>
            </w:r>
          </w:p>
        </w:tc>
        <w:tc>
          <w:tcPr>
            <w:tcW w:w="5184" w:type="dxa"/>
          </w:tcPr>
          <w:p w14:paraId="71C19AB1"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AI must immediately hand over; it should not attempt the substantive decision or resolution.</w:t>
            </w:r>
          </w:p>
        </w:tc>
      </w:tr>
    </w:tbl>
    <w:p w14:paraId="487324B4" w14:textId="77777777" w:rsidR="00D17D5E" w:rsidRDefault="00D17D5E" w:rsidP="00046931">
      <w:pPr>
        <w:rPr>
          <w:rFonts w:ascii="Times New Roman" w:hAnsi="Times New Roman" w:cs="Times New Roman"/>
          <w:sz w:val="24"/>
          <w:szCs w:val="24"/>
        </w:rPr>
      </w:pPr>
    </w:p>
    <w:p w14:paraId="22506ECE" w14:textId="77777777" w:rsidR="00D17D5E" w:rsidRDefault="00D17D5E" w:rsidP="00046931">
      <w:pPr>
        <w:rPr>
          <w:rFonts w:ascii="Times New Roman" w:hAnsi="Times New Roman" w:cs="Times New Roman"/>
          <w:sz w:val="24"/>
          <w:szCs w:val="24"/>
        </w:rPr>
      </w:pPr>
    </w:p>
    <w:p w14:paraId="77B590FD" w14:textId="0453EA4E" w:rsidR="00072237" w:rsidRPr="00046931" w:rsidRDefault="00000000" w:rsidP="00046931">
      <w:pPr>
        <w:rPr>
          <w:rFonts w:ascii="Times New Roman" w:hAnsi="Times New Roman" w:cs="Times New Roman"/>
          <w:sz w:val="24"/>
          <w:szCs w:val="24"/>
        </w:rPr>
      </w:pPr>
      <w:r w:rsidRPr="00046931">
        <w:rPr>
          <w:rFonts w:ascii="Times New Roman" w:hAnsi="Times New Roman" w:cs="Times New Roman"/>
          <w:sz w:val="24"/>
          <w:szCs w:val="24"/>
        </w:rPr>
        <w:lastRenderedPageBreak/>
        <w:t>4. AI Boundary Matrix</w:t>
      </w:r>
    </w:p>
    <w:tbl>
      <w:tblPr>
        <w:tblStyle w:val="TableGrid"/>
        <w:tblW w:w="0" w:type="auto"/>
        <w:jc w:val="center"/>
        <w:tblLook w:val="04A0" w:firstRow="1" w:lastRow="0" w:firstColumn="1" w:lastColumn="0" w:noHBand="0" w:noVBand="1"/>
      </w:tblPr>
      <w:tblGrid>
        <w:gridCol w:w="2465"/>
        <w:gridCol w:w="1919"/>
        <w:gridCol w:w="2196"/>
        <w:gridCol w:w="2002"/>
        <w:gridCol w:w="1776"/>
      </w:tblGrid>
      <w:tr w:rsidR="00072237" w:rsidRPr="00CE2281" w14:paraId="137E2AD2" w14:textId="77777777">
        <w:trPr>
          <w:jc w:val="center"/>
        </w:trPr>
        <w:tc>
          <w:tcPr>
            <w:tcW w:w="2074" w:type="dxa"/>
          </w:tcPr>
          <w:p w14:paraId="0B883F70" w14:textId="77777777" w:rsidR="00072237" w:rsidRPr="00CE2281" w:rsidRDefault="00000000">
            <w:pPr>
              <w:rPr>
                <w:rFonts w:ascii="Times New Roman" w:hAnsi="Times New Roman" w:cs="Times New Roman"/>
                <w:sz w:val="22"/>
              </w:rPr>
            </w:pPr>
            <w:r w:rsidRPr="00CE2281">
              <w:rPr>
                <w:rFonts w:ascii="Times New Roman" w:hAnsi="Times New Roman" w:cs="Times New Roman"/>
                <w:b/>
                <w:sz w:val="22"/>
              </w:rPr>
              <w:t>Activity / request</w:t>
            </w:r>
          </w:p>
        </w:tc>
        <w:tc>
          <w:tcPr>
            <w:tcW w:w="2074" w:type="dxa"/>
          </w:tcPr>
          <w:p w14:paraId="04F6532E" w14:textId="77777777" w:rsidR="00072237" w:rsidRPr="00CE2281" w:rsidRDefault="00000000">
            <w:pPr>
              <w:rPr>
                <w:rFonts w:ascii="Times New Roman" w:hAnsi="Times New Roman" w:cs="Times New Roman"/>
                <w:sz w:val="22"/>
              </w:rPr>
            </w:pPr>
            <w:r w:rsidRPr="00CE2281">
              <w:rPr>
                <w:rFonts w:ascii="Times New Roman" w:hAnsi="Times New Roman" w:cs="Times New Roman"/>
                <w:b/>
                <w:sz w:val="22"/>
              </w:rPr>
              <w:t>What AI may do</w:t>
            </w:r>
          </w:p>
        </w:tc>
        <w:tc>
          <w:tcPr>
            <w:tcW w:w="2074" w:type="dxa"/>
          </w:tcPr>
          <w:p w14:paraId="78E1B49E" w14:textId="77777777" w:rsidR="00072237" w:rsidRPr="00CE2281" w:rsidRDefault="00000000">
            <w:pPr>
              <w:rPr>
                <w:rFonts w:ascii="Times New Roman" w:hAnsi="Times New Roman" w:cs="Times New Roman"/>
                <w:sz w:val="22"/>
              </w:rPr>
            </w:pPr>
            <w:r w:rsidRPr="00CE2281">
              <w:rPr>
                <w:rFonts w:ascii="Times New Roman" w:hAnsi="Times New Roman" w:cs="Times New Roman"/>
                <w:b/>
                <w:sz w:val="22"/>
              </w:rPr>
              <w:t>What stays deterministic</w:t>
            </w:r>
          </w:p>
        </w:tc>
        <w:tc>
          <w:tcPr>
            <w:tcW w:w="2074" w:type="dxa"/>
          </w:tcPr>
          <w:p w14:paraId="05DB1859" w14:textId="77777777" w:rsidR="00072237" w:rsidRPr="00CE2281" w:rsidRDefault="00000000">
            <w:pPr>
              <w:rPr>
                <w:rFonts w:ascii="Times New Roman" w:hAnsi="Times New Roman" w:cs="Times New Roman"/>
                <w:sz w:val="22"/>
              </w:rPr>
            </w:pPr>
            <w:r w:rsidRPr="00CE2281">
              <w:rPr>
                <w:rFonts w:ascii="Times New Roman" w:hAnsi="Times New Roman" w:cs="Times New Roman"/>
                <w:b/>
                <w:sz w:val="22"/>
              </w:rPr>
              <w:t>What requires human approval / handling</w:t>
            </w:r>
          </w:p>
        </w:tc>
        <w:tc>
          <w:tcPr>
            <w:tcW w:w="2074" w:type="dxa"/>
          </w:tcPr>
          <w:p w14:paraId="4141C70E" w14:textId="77777777" w:rsidR="00072237" w:rsidRPr="00CE2281" w:rsidRDefault="00000000">
            <w:pPr>
              <w:rPr>
                <w:rFonts w:ascii="Times New Roman" w:hAnsi="Times New Roman" w:cs="Times New Roman"/>
                <w:sz w:val="22"/>
              </w:rPr>
            </w:pPr>
            <w:r w:rsidRPr="00CE2281">
              <w:rPr>
                <w:rFonts w:ascii="Times New Roman" w:hAnsi="Times New Roman" w:cs="Times New Roman"/>
                <w:b/>
                <w:sz w:val="22"/>
              </w:rPr>
              <w:t>Boundary</w:t>
            </w:r>
          </w:p>
        </w:tc>
      </w:tr>
      <w:tr w:rsidR="00072237" w:rsidRPr="00CE2281" w14:paraId="13ED3D02" w14:textId="77777777">
        <w:trPr>
          <w:jc w:val="center"/>
        </w:trPr>
        <w:tc>
          <w:tcPr>
            <w:tcW w:w="2074" w:type="dxa"/>
          </w:tcPr>
          <w:p w14:paraId="6A3D7FBF"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Product / savings-account FAQ</w:t>
            </w:r>
          </w:p>
        </w:tc>
        <w:tc>
          <w:tcPr>
            <w:tcW w:w="2074" w:type="dxa"/>
          </w:tcPr>
          <w:p w14:paraId="545AAAD6"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Retrieve and explain approved product information; cite source.</w:t>
            </w:r>
          </w:p>
        </w:tc>
        <w:tc>
          <w:tcPr>
            <w:tcW w:w="2074" w:type="dxa"/>
          </w:tcPr>
          <w:p w14:paraId="3558B586"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Knowledge access, document version/expiry and source validation.</w:t>
            </w:r>
          </w:p>
        </w:tc>
        <w:tc>
          <w:tcPr>
            <w:tcW w:w="2074" w:type="dxa"/>
          </w:tcPr>
          <w:p w14:paraId="2738B11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Only if the question becomes a customer-specific decision.</w:t>
            </w:r>
          </w:p>
        </w:tc>
        <w:tc>
          <w:tcPr>
            <w:tcW w:w="2074" w:type="dxa"/>
          </w:tcPr>
          <w:p w14:paraId="44EEB046"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B1</w:t>
            </w:r>
          </w:p>
        </w:tc>
      </w:tr>
      <w:tr w:rsidR="00072237" w:rsidRPr="00CE2281" w14:paraId="0CA538D4" w14:textId="77777777">
        <w:trPr>
          <w:jc w:val="center"/>
        </w:trPr>
        <w:tc>
          <w:tcPr>
            <w:tcW w:w="2074" w:type="dxa"/>
          </w:tcPr>
          <w:p w14:paraId="0F4A2576"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Account-opening procedure</w:t>
            </w:r>
          </w:p>
        </w:tc>
        <w:tc>
          <w:tcPr>
            <w:tcW w:w="2074" w:type="dxa"/>
          </w:tcPr>
          <w:p w14:paraId="2A8BC80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Explain verified requirements and process.</w:t>
            </w:r>
          </w:p>
        </w:tc>
        <w:tc>
          <w:tcPr>
            <w:tcW w:w="2074" w:type="dxa"/>
          </w:tcPr>
          <w:p w14:paraId="4F859C2B"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Required-field rules and official application workflow.</w:t>
            </w:r>
          </w:p>
        </w:tc>
        <w:tc>
          <w:tcPr>
            <w:tcW w:w="2074" w:type="dxa"/>
          </w:tcPr>
          <w:p w14:paraId="53C4FF7A"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 if an exception or disputed requirement arises.</w:t>
            </w:r>
          </w:p>
        </w:tc>
        <w:tc>
          <w:tcPr>
            <w:tcW w:w="2074" w:type="dxa"/>
          </w:tcPr>
          <w:p w14:paraId="4789CDB3"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B1–B2</w:t>
            </w:r>
          </w:p>
        </w:tc>
      </w:tr>
      <w:tr w:rsidR="00072237" w:rsidRPr="00CE2281" w14:paraId="4E900214" w14:textId="77777777">
        <w:trPr>
          <w:jc w:val="center"/>
        </w:trPr>
        <w:tc>
          <w:tcPr>
            <w:tcW w:w="2074" w:type="dxa"/>
          </w:tcPr>
          <w:p w14:paraId="3981C69A"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Fees, charges, rates and product terms</w:t>
            </w:r>
          </w:p>
        </w:tc>
        <w:tc>
          <w:tcPr>
            <w:tcW w:w="2074" w:type="dxa"/>
          </w:tcPr>
          <w:p w14:paraId="42ACD484"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Retrieve current approved information; identify source/date.</w:t>
            </w:r>
          </w:p>
        </w:tc>
        <w:tc>
          <w:tcPr>
            <w:tcW w:w="2074" w:type="dxa"/>
          </w:tcPr>
          <w:p w14:paraId="7B61AC3C"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Approved-source/version control; no invented figures.</w:t>
            </w:r>
          </w:p>
        </w:tc>
        <w:tc>
          <w:tcPr>
            <w:tcW w:w="2074" w:type="dxa"/>
          </w:tcPr>
          <w:p w14:paraId="6D19634B"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 if sources conflict or information is not current.</w:t>
            </w:r>
          </w:p>
        </w:tc>
        <w:tc>
          <w:tcPr>
            <w:tcW w:w="2074" w:type="dxa"/>
          </w:tcPr>
          <w:p w14:paraId="02032ADD"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B1</w:t>
            </w:r>
          </w:p>
        </w:tc>
      </w:tr>
      <w:tr w:rsidR="00072237" w:rsidRPr="00CE2281" w14:paraId="0C038832" w14:textId="77777777">
        <w:trPr>
          <w:jc w:val="center"/>
        </w:trPr>
        <w:tc>
          <w:tcPr>
            <w:tcW w:w="2074" w:type="dxa"/>
          </w:tcPr>
          <w:p w14:paraId="05AC900A"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Digital/mobile-banking general help</w:t>
            </w:r>
          </w:p>
        </w:tc>
        <w:tc>
          <w:tcPr>
            <w:tcW w:w="2074" w:type="dxa"/>
          </w:tcPr>
          <w:p w14:paraId="481E80C9"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Explain approved procedures and troubleshooting steps.</w:t>
            </w:r>
          </w:p>
        </w:tc>
        <w:tc>
          <w:tcPr>
            <w:tcW w:w="2074" w:type="dxa"/>
          </w:tcPr>
          <w:p w14:paraId="553F7EDA"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Authentication and account-security controls.</w:t>
            </w:r>
          </w:p>
        </w:tc>
        <w:tc>
          <w:tcPr>
            <w:tcW w:w="2074" w:type="dxa"/>
          </w:tcPr>
          <w:p w14:paraId="7FF2573E"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 when account access/security intervention is required.</w:t>
            </w:r>
          </w:p>
        </w:tc>
        <w:tc>
          <w:tcPr>
            <w:tcW w:w="2074" w:type="dxa"/>
          </w:tcPr>
          <w:p w14:paraId="0F09F4DD"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B1–B2</w:t>
            </w:r>
          </w:p>
        </w:tc>
      </w:tr>
      <w:tr w:rsidR="00072237" w:rsidRPr="00CE2281" w14:paraId="71AA5860" w14:textId="77777777">
        <w:trPr>
          <w:jc w:val="center"/>
        </w:trPr>
        <w:tc>
          <w:tcPr>
            <w:tcW w:w="2074" w:type="dxa"/>
          </w:tcPr>
          <w:p w14:paraId="7E8CABB2"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Branch/contact information</w:t>
            </w:r>
          </w:p>
        </w:tc>
        <w:tc>
          <w:tcPr>
            <w:tcW w:w="2074" w:type="dxa"/>
          </w:tcPr>
          <w:p w14:paraId="75A3BB14"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Provide approved public contact/branch information.</w:t>
            </w:r>
          </w:p>
        </w:tc>
        <w:tc>
          <w:tcPr>
            <w:tcW w:w="2074" w:type="dxa"/>
          </w:tcPr>
          <w:p w14:paraId="254CF25E"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Knowledge-source controls.</w:t>
            </w:r>
          </w:p>
        </w:tc>
        <w:tc>
          <w:tcPr>
            <w:tcW w:w="2074" w:type="dxa"/>
          </w:tcPr>
          <w:p w14:paraId="13FABC9E"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 if complaint or exceptional request requires intervention.</w:t>
            </w:r>
          </w:p>
        </w:tc>
        <w:tc>
          <w:tcPr>
            <w:tcW w:w="2074" w:type="dxa"/>
          </w:tcPr>
          <w:p w14:paraId="1522C34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B1</w:t>
            </w:r>
          </w:p>
        </w:tc>
      </w:tr>
      <w:tr w:rsidR="00072237" w:rsidRPr="00CE2281" w14:paraId="447073CA" w14:textId="77777777">
        <w:trPr>
          <w:jc w:val="center"/>
        </w:trPr>
        <w:tc>
          <w:tcPr>
            <w:tcW w:w="2074" w:type="dxa"/>
          </w:tcPr>
          <w:p w14:paraId="2F0D560F"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General loan information</w:t>
            </w:r>
          </w:p>
        </w:tc>
        <w:tc>
          <w:tcPr>
            <w:tcW w:w="2074" w:type="dxa"/>
          </w:tcPr>
          <w:p w14:paraId="2DAB489B"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Explain product features, general requirements and application process.</w:t>
            </w:r>
          </w:p>
        </w:tc>
        <w:tc>
          <w:tcPr>
            <w:tcW w:w="2074" w:type="dxa"/>
          </w:tcPr>
          <w:p w14:paraId="1F0D1CE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Product-rule validation; no credit-decision engine access.</w:t>
            </w:r>
          </w:p>
        </w:tc>
        <w:tc>
          <w:tcPr>
            <w:tcW w:w="2074" w:type="dxa"/>
          </w:tcPr>
          <w:p w14:paraId="551AA56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Human/bank process for eligibility, approval or rejection.</w:t>
            </w:r>
          </w:p>
        </w:tc>
        <w:tc>
          <w:tcPr>
            <w:tcW w:w="2074" w:type="dxa"/>
          </w:tcPr>
          <w:p w14:paraId="7A48584D"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B2</w:t>
            </w:r>
          </w:p>
        </w:tc>
      </w:tr>
      <w:tr w:rsidR="00072237" w:rsidRPr="00CE2281" w14:paraId="2914BDA7" w14:textId="77777777">
        <w:trPr>
          <w:jc w:val="center"/>
        </w:trPr>
        <w:tc>
          <w:tcPr>
            <w:tcW w:w="2074" w:type="dxa"/>
          </w:tcPr>
          <w:p w14:paraId="2916E2ED"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Personal loan eligibility / approval</w:t>
            </w:r>
          </w:p>
        </w:tc>
        <w:tc>
          <w:tcPr>
            <w:tcW w:w="2074" w:type="dxa"/>
          </w:tcPr>
          <w:p w14:paraId="6E0C7011"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Explain that formal assessment is required; route case.</w:t>
            </w:r>
          </w:p>
        </w:tc>
        <w:tc>
          <w:tcPr>
            <w:tcW w:w="2074" w:type="dxa"/>
          </w:tcPr>
          <w:p w14:paraId="6E343170"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Credit scoring, affordability rules and approval workflow remain deterministic/bank-controlled.</w:t>
            </w:r>
          </w:p>
        </w:tc>
        <w:tc>
          <w:tcPr>
            <w:tcW w:w="2074" w:type="dxa"/>
          </w:tcPr>
          <w:p w14:paraId="635979DD"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Authorized bank staff/system must make the decision.</w:t>
            </w:r>
          </w:p>
        </w:tc>
        <w:tc>
          <w:tcPr>
            <w:tcW w:w="2074" w:type="dxa"/>
          </w:tcPr>
          <w:p w14:paraId="7AA50DF1"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B4</w:t>
            </w:r>
          </w:p>
        </w:tc>
      </w:tr>
      <w:tr w:rsidR="00072237" w:rsidRPr="00CE2281" w14:paraId="6B765D59" w14:textId="77777777">
        <w:trPr>
          <w:jc w:val="center"/>
        </w:trPr>
        <w:tc>
          <w:tcPr>
            <w:tcW w:w="2074" w:type="dxa"/>
          </w:tcPr>
          <w:p w14:paraId="1BBC871D"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Credit-score calculation</w:t>
            </w:r>
          </w:p>
        </w:tc>
        <w:tc>
          <w:tcPr>
            <w:tcW w:w="2074" w:type="dxa"/>
          </w:tcPr>
          <w:p w14:paraId="2A98160A"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No calculation or prediction using real customer credit data.</w:t>
            </w:r>
          </w:p>
        </w:tc>
        <w:tc>
          <w:tcPr>
            <w:tcW w:w="2074" w:type="dxa"/>
          </w:tcPr>
          <w:p w14:paraId="27924172"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Credit scoring remains outside the agent.</w:t>
            </w:r>
          </w:p>
        </w:tc>
        <w:tc>
          <w:tcPr>
            <w:tcW w:w="2074" w:type="dxa"/>
          </w:tcPr>
          <w:p w14:paraId="30E574A7"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Human/bank process only.</w:t>
            </w:r>
          </w:p>
        </w:tc>
        <w:tc>
          <w:tcPr>
            <w:tcW w:w="2074" w:type="dxa"/>
          </w:tcPr>
          <w:p w14:paraId="6DB8F405"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B0/B5</w:t>
            </w:r>
          </w:p>
        </w:tc>
      </w:tr>
      <w:tr w:rsidR="00072237" w:rsidRPr="00CE2281" w14:paraId="78033FF3" w14:textId="77777777">
        <w:trPr>
          <w:jc w:val="center"/>
        </w:trPr>
        <w:tc>
          <w:tcPr>
            <w:tcW w:w="2074" w:type="dxa"/>
          </w:tcPr>
          <w:p w14:paraId="36E81126"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ATM/mobile transaction failure</w:t>
            </w:r>
          </w:p>
        </w:tc>
        <w:tc>
          <w:tcPr>
            <w:tcW w:w="2074" w:type="dxa"/>
          </w:tcPr>
          <w:p w14:paraId="7FE6B55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Understand complaint, collect minimum support details and create a case.</w:t>
            </w:r>
          </w:p>
        </w:tc>
        <w:tc>
          <w:tcPr>
            <w:tcW w:w="2074" w:type="dxa"/>
          </w:tcPr>
          <w:p w14:paraId="50C7E94E"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Ticket schema, authorization, case ID and routing rules.</w:t>
            </w:r>
          </w:p>
        </w:tc>
        <w:tc>
          <w:tcPr>
            <w:tcW w:w="2074" w:type="dxa"/>
          </w:tcPr>
          <w:p w14:paraId="204E2463"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 investigates transaction and resolves complaint.</w:t>
            </w:r>
          </w:p>
        </w:tc>
        <w:tc>
          <w:tcPr>
            <w:tcW w:w="2074" w:type="dxa"/>
          </w:tcPr>
          <w:p w14:paraId="70D6B5A4"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B3–B5</w:t>
            </w:r>
          </w:p>
        </w:tc>
      </w:tr>
      <w:tr w:rsidR="00072237" w:rsidRPr="00CE2281" w14:paraId="2B6F3F44" w14:textId="77777777">
        <w:trPr>
          <w:jc w:val="center"/>
        </w:trPr>
        <w:tc>
          <w:tcPr>
            <w:tcW w:w="2074" w:type="dxa"/>
          </w:tcPr>
          <w:p w14:paraId="2FB9325B"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Support-ticket status</w:t>
            </w:r>
          </w:p>
        </w:tc>
        <w:tc>
          <w:tcPr>
            <w:tcW w:w="2074" w:type="dxa"/>
          </w:tcPr>
          <w:p w14:paraId="6ECDA83E"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Retrieve status of an authorized test/support case.</w:t>
            </w:r>
          </w:p>
        </w:tc>
        <w:tc>
          <w:tcPr>
            <w:tcW w:w="2074" w:type="dxa"/>
          </w:tcPr>
          <w:p w14:paraId="62BC54E6"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Identity/authorization and record-level access control.</w:t>
            </w:r>
          </w:p>
        </w:tc>
        <w:tc>
          <w:tcPr>
            <w:tcW w:w="2074" w:type="dxa"/>
          </w:tcPr>
          <w:p w14:paraId="6E11D77D"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 if case details are sensitive or disputed.</w:t>
            </w:r>
          </w:p>
        </w:tc>
        <w:tc>
          <w:tcPr>
            <w:tcW w:w="2074" w:type="dxa"/>
          </w:tcPr>
          <w:p w14:paraId="3D84D1BE"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B3</w:t>
            </w:r>
          </w:p>
        </w:tc>
      </w:tr>
      <w:tr w:rsidR="00072237" w:rsidRPr="00CE2281" w14:paraId="3EC1B377" w14:textId="77777777">
        <w:trPr>
          <w:jc w:val="center"/>
        </w:trPr>
        <w:tc>
          <w:tcPr>
            <w:tcW w:w="2074" w:type="dxa"/>
          </w:tcPr>
          <w:p w14:paraId="65DAD3FD"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Complaint submission</w:t>
            </w:r>
          </w:p>
        </w:tc>
        <w:tc>
          <w:tcPr>
            <w:tcW w:w="2074" w:type="dxa"/>
          </w:tcPr>
          <w:p w14:paraId="17038B45"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Record complaint and provide reference number.</w:t>
            </w:r>
          </w:p>
        </w:tc>
        <w:tc>
          <w:tcPr>
            <w:tcW w:w="2074" w:type="dxa"/>
          </w:tcPr>
          <w:p w14:paraId="7E02A14A"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Mandatory fields, timestamps, routing and audit log.</w:t>
            </w:r>
          </w:p>
        </w:tc>
        <w:tc>
          <w:tcPr>
            <w:tcW w:w="2074" w:type="dxa"/>
          </w:tcPr>
          <w:p w14:paraId="45F2A22C"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 xml:space="preserve">Human/support team investigates </w:t>
            </w:r>
            <w:r w:rsidRPr="00CE2281">
              <w:rPr>
                <w:rFonts w:ascii="Times New Roman" w:hAnsi="Times New Roman" w:cs="Times New Roman"/>
                <w:sz w:val="22"/>
              </w:rPr>
              <w:lastRenderedPageBreak/>
              <w:t>and resolves complaint.</w:t>
            </w:r>
          </w:p>
        </w:tc>
        <w:tc>
          <w:tcPr>
            <w:tcW w:w="2074" w:type="dxa"/>
          </w:tcPr>
          <w:p w14:paraId="0844496E"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lastRenderedPageBreak/>
              <w:t>B3–B5</w:t>
            </w:r>
          </w:p>
        </w:tc>
      </w:tr>
      <w:tr w:rsidR="00072237" w:rsidRPr="00CE2281" w14:paraId="6D7AE52C" w14:textId="77777777">
        <w:trPr>
          <w:jc w:val="center"/>
        </w:trPr>
        <w:tc>
          <w:tcPr>
            <w:tcW w:w="2074" w:type="dxa"/>
          </w:tcPr>
          <w:p w14:paraId="280EA00B"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Fraud / unrecognized transaction</w:t>
            </w:r>
          </w:p>
        </w:tc>
        <w:tc>
          <w:tcPr>
            <w:tcW w:w="2074" w:type="dxa"/>
          </w:tcPr>
          <w:p w14:paraId="541E883B"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Recognize high-risk intent, avoid investigation promises, escalate/create case.</w:t>
            </w:r>
          </w:p>
        </w:tc>
        <w:tc>
          <w:tcPr>
            <w:tcW w:w="2074" w:type="dxa"/>
          </w:tcPr>
          <w:p w14:paraId="325D2F27"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Fraud controls, account locks and transaction actions.</w:t>
            </w:r>
          </w:p>
        </w:tc>
        <w:tc>
          <w:tcPr>
            <w:tcW w:w="2074" w:type="dxa"/>
          </w:tcPr>
          <w:p w14:paraId="3BE6BE57"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 fraud/support team handles investigation and remediation.</w:t>
            </w:r>
          </w:p>
        </w:tc>
        <w:tc>
          <w:tcPr>
            <w:tcW w:w="2074" w:type="dxa"/>
          </w:tcPr>
          <w:p w14:paraId="1E20DAE9"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B4–B5</w:t>
            </w:r>
          </w:p>
        </w:tc>
      </w:tr>
      <w:tr w:rsidR="00072237" w:rsidRPr="00CE2281" w14:paraId="1A6D4E0C" w14:textId="77777777">
        <w:trPr>
          <w:jc w:val="center"/>
        </w:trPr>
        <w:tc>
          <w:tcPr>
            <w:tcW w:w="2074" w:type="dxa"/>
          </w:tcPr>
          <w:p w14:paraId="1EB6C29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PIN/password/OTP/CVV</w:t>
            </w:r>
          </w:p>
        </w:tc>
        <w:tc>
          <w:tcPr>
            <w:tcW w:w="2074" w:type="dxa"/>
          </w:tcPr>
          <w:p w14:paraId="64541390"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Warn customer not to share secrets; give approved recovery guidance.</w:t>
            </w:r>
          </w:p>
        </w:tc>
        <w:tc>
          <w:tcPr>
            <w:tcW w:w="2074" w:type="dxa"/>
          </w:tcPr>
          <w:p w14:paraId="087F6D0F"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Authentication, credential reset and identity verification.</w:t>
            </w:r>
          </w:p>
        </w:tc>
        <w:tc>
          <w:tcPr>
            <w:tcW w:w="2074" w:type="dxa"/>
          </w:tcPr>
          <w:p w14:paraId="1B878196"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Human/official banking channel handles recovery.</w:t>
            </w:r>
          </w:p>
        </w:tc>
        <w:tc>
          <w:tcPr>
            <w:tcW w:w="2074" w:type="dxa"/>
          </w:tcPr>
          <w:p w14:paraId="3883269E"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B0/B5</w:t>
            </w:r>
          </w:p>
        </w:tc>
      </w:tr>
      <w:tr w:rsidR="00072237" w:rsidRPr="00CE2281" w14:paraId="55F72C94" w14:textId="77777777">
        <w:trPr>
          <w:jc w:val="center"/>
        </w:trPr>
        <w:tc>
          <w:tcPr>
            <w:tcW w:w="2074" w:type="dxa"/>
          </w:tcPr>
          <w:p w14:paraId="6E57E33F"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Money transfer / payment</w:t>
            </w:r>
          </w:p>
        </w:tc>
        <w:tc>
          <w:tcPr>
            <w:tcW w:w="2074" w:type="dxa"/>
          </w:tcPr>
          <w:p w14:paraId="3CB5CD44"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Refuse and redirect to official banking channel.</w:t>
            </w:r>
          </w:p>
        </w:tc>
        <w:tc>
          <w:tcPr>
            <w:tcW w:w="2074" w:type="dxa"/>
          </w:tcPr>
          <w:p w14:paraId="25907A67"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Transaction authorization, limits, authentication and settlement remain outside AI.</w:t>
            </w:r>
          </w:p>
        </w:tc>
        <w:tc>
          <w:tcPr>
            <w:tcW w:w="2074" w:type="dxa"/>
          </w:tcPr>
          <w:p w14:paraId="32B48CF2"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Human/official transaction system.</w:t>
            </w:r>
          </w:p>
        </w:tc>
        <w:tc>
          <w:tcPr>
            <w:tcW w:w="2074" w:type="dxa"/>
          </w:tcPr>
          <w:p w14:paraId="538FFD59"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B0</w:t>
            </w:r>
          </w:p>
        </w:tc>
      </w:tr>
      <w:tr w:rsidR="00072237" w:rsidRPr="00CE2281" w14:paraId="6D890F6F" w14:textId="77777777">
        <w:trPr>
          <w:jc w:val="center"/>
        </w:trPr>
        <w:tc>
          <w:tcPr>
            <w:tcW w:w="2074" w:type="dxa"/>
          </w:tcPr>
          <w:p w14:paraId="0675FD2A"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Account/customer-record change</w:t>
            </w:r>
          </w:p>
        </w:tc>
        <w:tc>
          <w:tcPr>
            <w:tcW w:w="2074" w:type="dxa"/>
          </w:tcPr>
          <w:p w14:paraId="777DEE19"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Explain official procedure only.</w:t>
            </w:r>
          </w:p>
        </w:tc>
        <w:tc>
          <w:tcPr>
            <w:tcW w:w="2074" w:type="dxa"/>
          </w:tcPr>
          <w:p w14:paraId="35243DFA"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Core-banking update and authorization rules.</w:t>
            </w:r>
          </w:p>
        </w:tc>
        <w:tc>
          <w:tcPr>
            <w:tcW w:w="2074" w:type="dxa"/>
          </w:tcPr>
          <w:p w14:paraId="4A6A7444"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Human/authorized banking workflow.</w:t>
            </w:r>
          </w:p>
        </w:tc>
        <w:tc>
          <w:tcPr>
            <w:tcW w:w="2074" w:type="dxa"/>
          </w:tcPr>
          <w:p w14:paraId="70FB2360"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B0/B5</w:t>
            </w:r>
          </w:p>
        </w:tc>
      </w:tr>
      <w:tr w:rsidR="00072237" w:rsidRPr="00CE2281" w14:paraId="494F588A" w14:textId="77777777">
        <w:trPr>
          <w:jc w:val="center"/>
        </w:trPr>
        <w:tc>
          <w:tcPr>
            <w:tcW w:w="2074" w:type="dxa"/>
          </w:tcPr>
          <w:p w14:paraId="3E221561"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Another customer's information</w:t>
            </w:r>
          </w:p>
        </w:tc>
        <w:tc>
          <w:tcPr>
            <w:tcW w:w="2074" w:type="dxa"/>
          </w:tcPr>
          <w:p w14:paraId="3C9AEE0D"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Refuse disclosure.</w:t>
            </w:r>
          </w:p>
        </w:tc>
        <w:tc>
          <w:tcPr>
            <w:tcW w:w="2074" w:type="dxa"/>
          </w:tcPr>
          <w:p w14:paraId="1EAB2AF6"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Access control and data segregation.</w:t>
            </w:r>
          </w:p>
        </w:tc>
        <w:tc>
          <w:tcPr>
            <w:tcW w:w="2074" w:type="dxa"/>
          </w:tcPr>
          <w:p w14:paraId="279BE8B9"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Authorized bank process only.</w:t>
            </w:r>
          </w:p>
        </w:tc>
        <w:tc>
          <w:tcPr>
            <w:tcW w:w="2074" w:type="dxa"/>
          </w:tcPr>
          <w:p w14:paraId="233BD461"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B0</w:t>
            </w:r>
          </w:p>
        </w:tc>
      </w:tr>
      <w:tr w:rsidR="00072237" w:rsidRPr="00CE2281" w14:paraId="0FFEBB3D" w14:textId="77777777">
        <w:trPr>
          <w:jc w:val="center"/>
        </w:trPr>
        <w:tc>
          <w:tcPr>
            <w:tcW w:w="2074" w:type="dxa"/>
          </w:tcPr>
          <w:p w14:paraId="0404950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Personalized financial advice</w:t>
            </w:r>
          </w:p>
        </w:tc>
        <w:tc>
          <w:tcPr>
            <w:tcW w:w="2074" w:type="dxa"/>
          </w:tcPr>
          <w:p w14:paraId="3ED600CA"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Provide general educational information only.</w:t>
            </w:r>
          </w:p>
        </w:tc>
        <w:tc>
          <w:tcPr>
            <w:tcW w:w="2074" w:type="dxa"/>
          </w:tcPr>
          <w:p w14:paraId="32E917A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Suitability/regulated decision rules remain outside AI.</w:t>
            </w:r>
          </w:p>
        </w:tc>
        <w:tc>
          <w:tcPr>
            <w:tcW w:w="2074" w:type="dxa"/>
          </w:tcPr>
          <w:p w14:paraId="333D4C71"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 adviser/authorized process for individualized advice.</w:t>
            </w:r>
          </w:p>
        </w:tc>
        <w:tc>
          <w:tcPr>
            <w:tcW w:w="2074" w:type="dxa"/>
          </w:tcPr>
          <w:p w14:paraId="51AA5EAC"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B2/B4</w:t>
            </w:r>
          </w:p>
        </w:tc>
      </w:tr>
      <w:tr w:rsidR="00072237" w:rsidRPr="00CE2281" w14:paraId="41F7BF7E" w14:textId="77777777">
        <w:trPr>
          <w:jc w:val="center"/>
        </w:trPr>
        <w:tc>
          <w:tcPr>
            <w:tcW w:w="2074" w:type="dxa"/>
          </w:tcPr>
          <w:p w14:paraId="3A61C2F7"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Data deletion / privacy request</w:t>
            </w:r>
          </w:p>
        </w:tc>
        <w:tc>
          <w:tcPr>
            <w:tcW w:w="2074" w:type="dxa"/>
          </w:tcPr>
          <w:p w14:paraId="53815339"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Explain official process and route request.</w:t>
            </w:r>
          </w:p>
        </w:tc>
        <w:tc>
          <w:tcPr>
            <w:tcW w:w="2074" w:type="dxa"/>
          </w:tcPr>
          <w:p w14:paraId="23629537"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Identity, rights-management workflow and retention controls.</w:t>
            </w:r>
          </w:p>
        </w:tc>
        <w:tc>
          <w:tcPr>
            <w:tcW w:w="2074" w:type="dxa"/>
          </w:tcPr>
          <w:p w14:paraId="18031ADA"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Authorized privacy/data-protection process.</w:t>
            </w:r>
          </w:p>
        </w:tc>
        <w:tc>
          <w:tcPr>
            <w:tcW w:w="2074" w:type="dxa"/>
          </w:tcPr>
          <w:p w14:paraId="4A29D5B1"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B5</w:t>
            </w:r>
          </w:p>
        </w:tc>
      </w:tr>
      <w:tr w:rsidR="00072237" w:rsidRPr="00CE2281" w14:paraId="5DDDA15D" w14:textId="77777777">
        <w:trPr>
          <w:jc w:val="center"/>
        </w:trPr>
        <w:tc>
          <w:tcPr>
            <w:tcW w:w="2074" w:type="dxa"/>
          </w:tcPr>
          <w:p w14:paraId="587A169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Internal/confidential bank information</w:t>
            </w:r>
          </w:p>
        </w:tc>
        <w:tc>
          <w:tcPr>
            <w:tcW w:w="2074" w:type="dxa"/>
          </w:tcPr>
          <w:p w14:paraId="5EC1AC8B"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Do not retrieve or disclose.</w:t>
            </w:r>
          </w:p>
        </w:tc>
        <w:tc>
          <w:tcPr>
            <w:tcW w:w="2074" w:type="dxa"/>
          </w:tcPr>
          <w:p w14:paraId="47053CD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Production access control and data classification.</w:t>
            </w:r>
          </w:p>
        </w:tc>
        <w:tc>
          <w:tcPr>
            <w:tcW w:w="2074" w:type="dxa"/>
          </w:tcPr>
          <w:p w14:paraId="2EFBF6F9"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Authorized staff only.</w:t>
            </w:r>
          </w:p>
        </w:tc>
        <w:tc>
          <w:tcPr>
            <w:tcW w:w="2074" w:type="dxa"/>
          </w:tcPr>
          <w:p w14:paraId="133E7365"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B0</w:t>
            </w:r>
          </w:p>
        </w:tc>
      </w:tr>
      <w:tr w:rsidR="00072237" w:rsidRPr="00CE2281" w14:paraId="3E0B5A18" w14:textId="77777777">
        <w:trPr>
          <w:jc w:val="center"/>
        </w:trPr>
        <w:tc>
          <w:tcPr>
            <w:tcW w:w="2074" w:type="dxa"/>
          </w:tcPr>
          <w:p w14:paraId="1A84450E"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Ambiguous / low-confidence question</w:t>
            </w:r>
          </w:p>
        </w:tc>
        <w:tc>
          <w:tcPr>
            <w:tcW w:w="2074" w:type="dxa"/>
          </w:tcPr>
          <w:p w14:paraId="5F59DC83"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State uncertainty, ask a clarifying question or escalate; never invent.</w:t>
            </w:r>
          </w:p>
        </w:tc>
        <w:tc>
          <w:tcPr>
            <w:tcW w:w="2074" w:type="dxa"/>
          </w:tcPr>
          <w:p w14:paraId="156D70CC"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Confidence/grounding threshold and source validation.</w:t>
            </w:r>
          </w:p>
        </w:tc>
        <w:tc>
          <w:tcPr>
            <w:tcW w:w="2074" w:type="dxa"/>
          </w:tcPr>
          <w:p w14:paraId="228D0878"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Human if unresolved.</w:t>
            </w:r>
          </w:p>
        </w:tc>
        <w:tc>
          <w:tcPr>
            <w:tcW w:w="2074" w:type="dxa"/>
          </w:tcPr>
          <w:p w14:paraId="178AAC94"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B2/B5</w:t>
            </w:r>
          </w:p>
        </w:tc>
      </w:tr>
    </w:tbl>
    <w:p w14:paraId="548C2AA0" w14:textId="77777777" w:rsidR="00072237" w:rsidRPr="00046931" w:rsidRDefault="00000000" w:rsidP="00046931">
      <w:pPr>
        <w:rPr>
          <w:rFonts w:ascii="Times New Roman" w:hAnsi="Times New Roman" w:cs="Times New Roman"/>
          <w:sz w:val="24"/>
          <w:szCs w:val="24"/>
        </w:rPr>
      </w:pPr>
      <w:r w:rsidRPr="00046931">
        <w:rPr>
          <w:rFonts w:ascii="Times New Roman" w:hAnsi="Times New Roman" w:cs="Times New Roman"/>
          <w:sz w:val="24"/>
          <w:szCs w:val="24"/>
        </w:rPr>
        <w:t>5. Tools and Data Access</w:t>
      </w:r>
    </w:p>
    <w:p w14:paraId="204C2926"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Included tools:</w:t>
      </w:r>
    </w:p>
    <w:p w14:paraId="24D3554C" w14:textId="77777777"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t>Approved knowledge-base retrieval: product information, FAQs, procedures, current approved fees/charges and other authorized public information.</w:t>
      </w:r>
    </w:p>
    <w:p w14:paraId="5A7C0AD1" w14:textId="4C002CA8" w:rsidR="00072237" w:rsidRPr="00CE2281" w:rsidRDefault="009F0CBB">
      <w:pPr>
        <w:pStyle w:val="ListBullet"/>
        <w:rPr>
          <w:rFonts w:ascii="Times New Roman" w:hAnsi="Times New Roman" w:cs="Times New Roman"/>
          <w:sz w:val="22"/>
        </w:rPr>
      </w:pPr>
      <w:r>
        <w:rPr>
          <w:rFonts w:ascii="Times New Roman" w:hAnsi="Times New Roman" w:cs="Times New Roman"/>
          <w:sz w:val="22"/>
        </w:rPr>
        <w:t>C</w:t>
      </w:r>
      <w:r w:rsidR="00000000" w:rsidRPr="00CE2281">
        <w:rPr>
          <w:rFonts w:ascii="Times New Roman" w:hAnsi="Times New Roman" w:cs="Times New Roman"/>
          <w:sz w:val="22"/>
        </w:rPr>
        <w:t>reate</w:t>
      </w:r>
      <w:r>
        <w:rPr>
          <w:rFonts w:ascii="Times New Roman" w:hAnsi="Times New Roman" w:cs="Times New Roman"/>
          <w:sz w:val="22"/>
        </w:rPr>
        <w:t xml:space="preserve"> </w:t>
      </w:r>
      <w:r w:rsidR="00000000" w:rsidRPr="00CE2281">
        <w:rPr>
          <w:rFonts w:ascii="Times New Roman" w:hAnsi="Times New Roman" w:cs="Times New Roman"/>
          <w:sz w:val="22"/>
        </w:rPr>
        <w:t>support</w:t>
      </w:r>
      <w:r>
        <w:rPr>
          <w:rFonts w:ascii="Times New Roman" w:hAnsi="Times New Roman" w:cs="Times New Roman"/>
          <w:sz w:val="22"/>
        </w:rPr>
        <w:t xml:space="preserve"> </w:t>
      </w:r>
      <w:r w:rsidR="00000000" w:rsidRPr="00CE2281">
        <w:rPr>
          <w:rFonts w:ascii="Times New Roman" w:hAnsi="Times New Roman" w:cs="Times New Roman"/>
          <w:sz w:val="22"/>
        </w:rPr>
        <w:t>ticket: creates a non-financial support/complaint case with minimum necessary information.</w:t>
      </w:r>
    </w:p>
    <w:p w14:paraId="63B7D555" w14:textId="17D59DDA" w:rsidR="00072237" w:rsidRPr="00CE2281" w:rsidRDefault="009F0CBB">
      <w:pPr>
        <w:pStyle w:val="ListBullet"/>
        <w:rPr>
          <w:rFonts w:ascii="Times New Roman" w:hAnsi="Times New Roman" w:cs="Times New Roman"/>
          <w:sz w:val="22"/>
        </w:rPr>
      </w:pPr>
      <w:r w:rsidRPr="00CE2281">
        <w:rPr>
          <w:rFonts w:ascii="Times New Roman" w:hAnsi="Times New Roman" w:cs="Times New Roman"/>
          <w:sz w:val="22"/>
        </w:rPr>
        <w:t>G</w:t>
      </w:r>
      <w:r w:rsidR="00000000" w:rsidRPr="00CE2281">
        <w:rPr>
          <w:rFonts w:ascii="Times New Roman" w:hAnsi="Times New Roman" w:cs="Times New Roman"/>
          <w:sz w:val="22"/>
        </w:rPr>
        <w:t>et</w:t>
      </w:r>
      <w:r>
        <w:rPr>
          <w:rFonts w:ascii="Times New Roman" w:hAnsi="Times New Roman" w:cs="Times New Roman"/>
          <w:sz w:val="22"/>
        </w:rPr>
        <w:t xml:space="preserve"> </w:t>
      </w:r>
      <w:r w:rsidR="00000000" w:rsidRPr="00CE2281">
        <w:rPr>
          <w:rFonts w:ascii="Times New Roman" w:hAnsi="Times New Roman" w:cs="Times New Roman"/>
          <w:sz w:val="22"/>
        </w:rPr>
        <w:t>support</w:t>
      </w:r>
      <w:r>
        <w:rPr>
          <w:rFonts w:ascii="Times New Roman" w:hAnsi="Times New Roman" w:cs="Times New Roman"/>
          <w:sz w:val="22"/>
        </w:rPr>
        <w:t xml:space="preserve"> </w:t>
      </w:r>
      <w:r w:rsidR="00000000" w:rsidRPr="00CE2281">
        <w:rPr>
          <w:rFonts w:ascii="Times New Roman" w:hAnsi="Times New Roman" w:cs="Times New Roman"/>
          <w:sz w:val="22"/>
        </w:rPr>
        <w:t>ticket</w:t>
      </w:r>
      <w:r>
        <w:rPr>
          <w:rFonts w:ascii="Times New Roman" w:hAnsi="Times New Roman" w:cs="Times New Roman"/>
          <w:sz w:val="22"/>
        </w:rPr>
        <w:t xml:space="preserve"> </w:t>
      </w:r>
      <w:r w:rsidR="00000000" w:rsidRPr="00CE2281">
        <w:rPr>
          <w:rFonts w:ascii="Times New Roman" w:hAnsi="Times New Roman" w:cs="Times New Roman"/>
          <w:sz w:val="22"/>
        </w:rPr>
        <w:t>status: returns the status of an authorized case.</w:t>
      </w:r>
    </w:p>
    <w:p w14:paraId="1E7FFCD1" w14:textId="2F3A34C9" w:rsidR="00072237" w:rsidRPr="00CE2281" w:rsidRDefault="009F0CBB">
      <w:pPr>
        <w:pStyle w:val="ListBullet"/>
        <w:rPr>
          <w:rFonts w:ascii="Times New Roman" w:hAnsi="Times New Roman" w:cs="Times New Roman"/>
          <w:sz w:val="22"/>
        </w:rPr>
      </w:pPr>
      <w:r w:rsidRPr="00CE2281">
        <w:rPr>
          <w:rFonts w:ascii="Times New Roman" w:hAnsi="Times New Roman" w:cs="Times New Roman"/>
          <w:sz w:val="22"/>
        </w:rPr>
        <w:t>E</w:t>
      </w:r>
      <w:r w:rsidR="00000000" w:rsidRPr="00CE2281">
        <w:rPr>
          <w:rFonts w:ascii="Times New Roman" w:hAnsi="Times New Roman" w:cs="Times New Roman"/>
          <w:sz w:val="22"/>
        </w:rPr>
        <w:t>scalate</w:t>
      </w:r>
      <w:r>
        <w:rPr>
          <w:rFonts w:ascii="Times New Roman" w:hAnsi="Times New Roman" w:cs="Times New Roman"/>
          <w:sz w:val="22"/>
        </w:rPr>
        <w:t xml:space="preserve"> </w:t>
      </w:r>
      <w:r w:rsidR="00000000" w:rsidRPr="00CE2281">
        <w:rPr>
          <w:rFonts w:ascii="Times New Roman" w:hAnsi="Times New Roman" w:cs="Times New Roman"/>
          <w:sz w:val="22"/>
        </w:rPr>
        <w:t>to</w:t>
      </w:r>
      <w:r>
        <w:rPr>
          <w:rFonts w:ascii="Times New Roman" w:hAnsi="Times New Roman" w:cs="Times New Roman"/>
          <w:sz w:val="22"/>
        </w:rPr>
        <w:t xml:space="preserve"> </w:t>
      </w:r>
      <w:r w:rsidR="00000000" w:rsidRPr="00CE2281">
        <w:rPr>
          <w:rFonts w:ascii="Times New Roman" w:hAnsi="Times New Roman" w:cs="Times New Roman"/>
          <w:sz w:val="22"/>
        </w:rPr>
        <w:t>human: routes a case with a concise summary and reason for escalation.</w:t>
      </w:r>
    </w:p>
    <w:p w14:paraId="2F1296B9"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Excluded tools/data:</w:t>
      </w:r>
    </w:p>
    <w:p w14:paraId="772D04E8" w14:textId="77777777"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t>Money transfer, payment, withdrawal or deposit APIs.</w:t>
      </w:r>
    </w:p>
    <w:p w14:paraId="15221FFC" w14:textId="77777777"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t>Loan approval/rejection and real customer credit-scoring APIs.</w:t>
      </w:r>
    </w:p>
    <w:p w14:paraId="5931C902" w14:textId="77777777"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lastRenderedPageBreak/>
        <w:t>PIN, password, OTP, CVV or credential-reset tools.</w:t>
      </w:r>
    </w:p>
    <w:p w14:paraId="65F92FFC" w14:textId="77777777"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t>Direct production core-banking database access.</w:t>
      </w:r>
    </w:p>
    <w:p w14:paraId="23B2C3B8" w14:textId="77777777"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t>Unrestricted customer-profile or transaction-history access.</w:t>
      </w:r>
    </w:p>
    <w:p w14:paraId="1C0B3646" w14:textId="77777777"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t>Fraud investigation/remediation tools that can freeze, reverse or alter transactions.</w:t>
      </w:r>
    </w:p>
    <w:p w14:paraId="752DD964" w14:textId="77777777"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t>Account-closure or sensitive customer-record modification tools.</w:t>
      </w:r>
    </w:p>
    <w:p w14:paraId="7AF9D9D8" w14:textId="77777777" w:rsidR="00072237" w:rsidRPr="00046931" w:rsidRDefault="00000000" w:rsidP="00046931">
      <w:pPr>
        <w:rPr>
          <w:rFonts w:ascii="Times New Roman" w:hAnsi="Times New Roman" w:cs="Times New Roman"/>
          <w:sz w:val="24"/>
          <w:szCs w:val="24"/>
        </w:rPr>
      </w:pPr>
      <w:r w:rsidRPr="00046931">
        <w:rPr>
          <w:rFonts w:ascii="Times New Roman" w:hAnsi="Times New Roman" w:cs="Times New Roman"/>
          <w:sz w:val="24"/>
          <w:szCs w:val="24"/>
        </w:rPr>
        <w:t>6. Escalation Rules</w:t>
      </w:r>
    </w:p>
    <w:p w14:paraId="5E2731DF" w14:textId="77777777"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t>Financial decisions: any request to approve/reject a loan, determine personalized eligibility, or make a consequential financial recommendation.</w:t>
      </w:r>
    </w:p>
    <w:p w14:paraId="20B12256" w14:textId="249EA812"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t>Transactions: failed/unrecognized transactions, missing funds, payment disputes or requests to move money.</w:t>
      </w:r>
    </w:p>
    <w:p w14:paraId="467F0D6A" w14:textId="77777777"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t>Security: lost/stolen device, suspected credential compromise, PIN/password problems or suspicious access.</w:t>
      </w:r>
    </w:p>
    <w:p w14:paraId="133282FD" w14:textId="77777777"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t>Fraud: any allegation of unauthorized activity or suspected fraud.</w:t>
      </w:r>
    </w:p>
    <w:p w14:paraId="13D7D178" w14:textId="18B06AAB"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t>Privacy: access, correction, deletion or other formal personal-data rights requests.</w:t>
      </w:r>
    </w:p>
    <w:p w14:paraId="598BACDA" w14:textId="77777777" w:rsidR="00072237" w:rsidRPr="00CE2281" w:rsidRDefault="00000000">
      <w:pPr>
        <w:pStyle w:val="ListBullet"/>
        <w:rPr>
          <w:rFonts w:ascii="Times New Roman" w:hAnsi="Times New Roman" w:cs="Times New Roman"/>
          <w:sz w:val="22"/>
        </w:rPr>
      </w:pPr>
      <w:r w:rsidRPr="00CE2281">
        <w:rPr>
          <w:rFonts w:ascii="Times New Roman" w:hAnsi="Times New Roman" w:cs="Times New Roman"/>
          <w:sz w:val="22"/>
        </w:rPr>
        <w:t>Low confidence or conflicting sources: do not guess; escalate when approved sources cannot support a reliable answer.</w:t>
      </w:r>
    </w:p>
    <w:p w14:paraId="56C5CA4F" w14:textId="202DBAA4" w:rsidR="00072237" w:rsidRPr="00046931" w:rsidRDefault="003305F8" w:rsidP="00046931">
      <w:pPr>
        <w:rPr>
          <w:rFonts w:ascii="Times New Roman" w:hAnsi="Times New Roman" w:cs="Times New Roman"/>
          <w:sz w:val="24"/>
          <w:szCs w:val="24"/>
        </w:rPr>
      </w:pPr>
      <w:r>
        <w:rPr>
          <w:rFonts w:ascii="Times New Roman" w:hAnsi="Times New Roman" w:cs="Times New Roman"/>
          <w:sz w:val="24"/>
          <w:szCs w:val="24"/>
        </w:rPr>
        <w:t>7</w:t>
      </w:r>
      <w:r w:rsidR="00000000" w:rsidRPr="00046931">
        <w:rPr>
          <w:rFonts w:ascii="Times New Roman" w:hAnsi="Times New Roman" w:cs="Times New Roman"/>
          <w:sz w:val="24"/>
          <w:szCs w:val="24"/>
        </w:rPr>
        <w:t>. Audit and Monitoring</w:t>
      </w:r>
    </w:p>
    <w:p w14:paraId="7CEF1010"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Every tool invocation should be auditable: timestamp, session/case reference, intent, tool, action, authorization result and outcome. Prohibited actions should be logged as denied attempts without exposing sensitive credentials. The knowledge base should retain source, version and review/expiry metadata so that outdated or conflicting banking information can be detected.</w:t>
      </w:r>
    </w:p>
    <w:p w14:paraId="7A483989" w14:textId="4F08E0FA" w:rsidR="00072237" w:rsidRPr="00046931" w:rsidRDefault="003305F8" w:rsidP="00046931">
      <w:pPr>
        <w:rPr>
          <w:rFonts w:ascii="Times New Roman" w:hAnsi="Times New Roman" w:cs="Times New Roman"/>
          <w:sz w:val="24"/>
          <w:szCs w:val="24"/>
        </w:rPr>
      </w:pPr>
      <w:r>
        <w:rPr>
          <w:rFonts w:ascii="Times New Roman" w:hAnsi="Times New Roman" w:cs="Times New Roman"/>
          <w:sz w:val="24"/>
          <w:szCs w:val="24"/>
        </w:rPr>
        <w:t>8</w:t>
      </w:r>
      <w:r w:rsidR="00000000" w:rsidRPr="00046931">
        <w:rPr>
          <w:rFonts w:ascii="Times New Roman" w:hAnsi="Times New Roman" w:cs="Times New Roman"/>
          <w:sz w:val="24"/>
          <w:szCs w:val="24"/>
        </w:rPr>
        <w:t>. Regulatory and Governance Basis</w:t>
      </w:r>
    </w:p>
    <w:p w14:paraId="3FD42332" w14:textId="77777777" w:rsidR="00072237" w:rsidRPr="00CE2281" w:rsidRDefault="00000000">
      <w:pPr>
        <w:rPr>
          <w:rFonts w:ascii="Times New Roman" w:hAnsi="Times New Roman" w:cs="Times New Roman"/>
          <w:sz w:val="22"/>
        </w:rPr>
      </w:pPr>
      <w:r w:rsidRPr="00CE2281">
        <w:rPr>
          <w:rFonts w:ascii="Times New Roman" w:hAnsi="Times New Roman" w:cs="Times New Roman"/>
          <w:sz w:val="22"/>
        </w:rPr>
        <w:t>Bank of Uganda states that its consumer-protection framework promotes fair, transparent and responsible treatment of financial-service users, clear disclosure of product terms and costs, customer-data protection, and effective complaint handling. It also requires supervised financial institutions to publicly disclose fees, charges and pricing structures. Uganda's Personal Data Protection Office states that controllers should process personal data lawfully, use it for specified purposes, implement appropriate technical and organizational measures, conduct Data Protection Impact Assessments where high risk is likely, and enable data-subject rights. The Data Protection and Privacy Regulations include specific provisions on rights in relation to automated decision-making. These sources support keeping consequential financial, privacy and security decisions outside autonomous AI authority.</w:t>
      </w:r>
    </w:p>
    <w:p w14:paraId="7B7FFA2F" w14:textId="768F5EF2" w:rsidR="00072237" w:rsidRPr="00046931" w:rsidRDefault="003305F8" w:rsidP="00046931">
      <w:pPr>
        <w:rPr>
          <w:rFonts w:ascii="Times New Roman" w:hAnsi="Times New Roman" w:cs="Times New Roman"/>
          <w:sz w:val="24"/>
          <w:szCs w:val="24"/>
        </w:rPr>
      </w:pPr>
      <w:r>
        <w:rPr>
          <w:rFonts w:ascii="Times New Roman" w:hAnsi="Times New Roman" w:cs="Times New Roman"/>
          <w:sz w:val="24"/>
          <w:szCs w:val="24"/>
        </w:rPr>
        <w:t>9</w:t>
      </w:r>
      <w:r w:rsidR="00000000" w:rsidRPr="00046931">
        <w:rPr>
          <w:rFonts w:ascii="Times New Roman" w:hAnsi="Times New Roman" w:cs="Times New Roman"/>
          <w:sz w:val="24"/>
          <w:szCs w:val="24"/>
        </w:rPr>
        <w:t>. References</w:t>
      </w:r>
    </w:p>
    <w:p w14:paraId="77ADDA34" w14:textId="77777777" w:rsidR="00072237" w:rsidRPr="00CE2281" w:rsidRDefault="00000000">
      <w:pPr>
        <w:pStyle w:val="ListNumber"/>
        <w:rPr>
          <w:rFonts w:ascii="Times New Roman" w:hAnsi="Times New Roman" w:cs="Times New Roman"/>
          <w:sz w:val="22"/>
        </w:rPr>
      </w:pPr>
      <w:r w:rsidRPr="00CE2281">
        <w:rPr>
          <w:rFonts w:ascii="Times New Roman" w:hAnsi="Times New Roman" w:cs="Times New Roman"/>
          <w:sz w:val="22"/>
        </w:rPr>
        <w:t>Centenary Bank Uganda, official website: https://www.centenarybank.co.ug/</w:t>
      </w:r>
    </w:p>
    <w:p w14:paraId="6398E3EA" w14:textId="77777777" w:rsidR="00072237" w:rsidRPr="00CE2281" w:rsidRDefault="00000000">
      <w:pPr>
        <w:pStyle w:val="ListNumber"/>
        <w:rPr>
          <w:rFonts w:ascii="Times New Roman" w:hAnsi="Times New Roman" w:cs="Times New Roman"/>
          <w:sz w:val="22"/>
        </w:rPr>
      </w:pPr>
      <w:r w:rsidRPr="00CE2281">
        <w:rPr>
          <w:rFonts w:ascii="Times New Roman" w:hAnsi="Times New Roman" w:cs="Times New Roman"/>
          <w:sz w:val="22"/>
        </w:rPr>
        <w:t>Centenary Bank Treasury Platform FAQ: https://centetreasury.centenarybank.co.ug/</w:t>
      </w:r>
    </w:p>
    <w:p w14:paraId="7B6C7EEA" w14:textId="77777777" w:rsidR="00072237" w:rsidRPr="00CE2281" w:rsidRDefault="00000000">
      <w:pPr>
        <w:pStyle w:val="ListNumber"/>
        <w:rPr>
          <w:rFonts w:ascii="Times New Roman" w:hAnsi="Times New Roman" w:cs="Times New Roman"/>
          <w:sz w:val="22"/>
        </w:rPr>
      </w:pPr>
      <w:r w:rsidRPr="00CE2281">
        <w:rPr>
          <w:rFonts w:ascii="Times New Roman" w:hAnsi="Times New Roman" w:cs="Times New Roman"/>
          <w:sz w:val="22"/>
        </w:rPr>
        <w:t>Centenary Bank CSD Account application: https://centetreasury.centenarybank.co.ug/open-csd/</w:t>
      </w:r>
    </w:p>
    <w:p w14:paraId="0C4DE154" w14:textId="77777777" w:rsidR="00072237" w:rsidRPr="00CE2281" w:rsidRDefault="00000000">
      <w:pPr>
        <w:pStyle w:val="ListNumber"/>
        <w:rPr>
          <w:rFonts w:ascii="Times New Roman" w:hAnsi="Times New Roman" w:cs="Times New Roman"/>
          <w:sz w:val="22"/>
        </w:rPr>
      </w:pPr>
      <w:r w:rsidRPr="00CE2281">
        <w:rPr>
          <w:rFonts w:ascii="Times New Roman" w:hAnsi="Times New Roman" w:cs="Times New Roman"/>
          <w:sz w:val="22"/>
        </w:rPr>
        <w:t>Bank of Uganda, Financial Inclusion and Consumer Protection: https://bou.or.ug/financial_inclusion_and_consumer_protection</w:t>
      </w:r>
    </w:p>
    <w:p w14:paraId="22CA12FB" w14:textId="77777777" w:rsidR="00072237" w:rsidRPr="00CE2281" w:rsidRDefault="00000000">
      <w:pPr>
        <w:pStyle w:val="ListNumber"/>
        <w:rPr>
          <w:rFonts w:ascii="Times New Roman" w:hAnsi="Times New Roman" w:cs="Times New Roman"/>
          <w:sz w:val="22"/>
        </w:rPr>
      </w:pPr>
      <w:r w:rsidRPr="00CE2281">
        <w:rPr>
          <w:rFonts w:ascii="Times New Roman" w:hAnsi="Times New Roman" w:cs="Times New Roman"/>
          <w:sz w:val="22"/>
        </w:rPr>
        <w:t>Bank of Uganda, Supervision / Published Charges: https://bou.or.ug/supervision</w:t>
      </w:r>
    </w:p>
    <w:p w14:paraId="3D46FB41" w14:textId="77777777" w:rsidR="00072237" w:rsidRPr="00CE2281" w:rsidRDefault="00000000">
      <w:pPr>
        <w:pStyle w:val="ListNumber"/>
        <w:rPr>
          <w:rFonts w:ascii="Times New Roman" w:hAnsi="Times New Roman" w:cs="Times New Roman"/>
          <w:sz w:val="22"/>
        </w:rPr>
      </w:pPr>
      <w:r w:rsidRPr="00CE2281">
        <w:rPr>
          <w:rFonts w:ascii="Times New Roman" w:hAnsi="Times New Roman" w:cs="Times New Roman"/>
          <w:sz w:val="22"/>
        </w:rPr>
        <w:t>Personal Data Protection Office, Obligations of Data Controllers: https://www.pdpo.go.ug/information-center/organisation</w:t>
      </w:r>
    </w:p>
    <w:p w14:paraId="6721BECF" w14:textId="77777777" w:rsidR="00072237" w:rsidRPr="00CE2281" w:rsidRDefault="00000000">
      <w:pPr>
        <w:pStyle w:val="ListNumber"/>
        <w:rPr>
          <w:rFonts w:ascii="Times New Roman" w:hAnsi="Times New Roman" w:cs="Times New Roman"/>
          <w:sz w:val="22"/>
        </w:rPr>
      </w:pPr>
      <w:r w:rsidRPr="00CE2281">
        <w:rPr>
          <w:rFonts w:ascii="Times New Roman" w:hAnsi="Times New Roman" w:cs="Times New Roman"/>
          <w:sz w:val="22"/>
        </w:rPr>
        <w:t>Uganda Data Protection and Privacy Regulations, 2021: https://pdpo.go.ug/media/2022/03/Data_Protection_and_Privacy_Regulations-2021.pdf</w:t>
      </w:r>
    </w:p>
    <w:p w14:paraId="14A1EF02" w14:textId="5F9C4B22" w:rsidR="00072237" w:rsidRPr="00CE2281" w:rsidRDefault="00000000">
      <w:pPr>
        <w:pStyle w:val="ListNumber"/>
        <w:rPr>
          <w:rFonts w:ascii="Times New Roman" w:hAnsi="Times New Roman" w:cs="Times New Roman"/>
          <w:sz w:val="22"/>
        </w:rPr>
      </w:pPr>
      <w:r w:rsidRPr="00CE2281">
        <w:rPr>
          <w:rFonts w:ascii="Times New Roman" w:hAnsi="Times New Roman" w:cs="Times New Roman"/>
          <w:sz w:val="22"/>
        </w:rPr>
        <w:t xml:space="preserve">Project Charter – Banking Customer Support </w:t>
      </w:r>
      <w:proofErr w:type="gramStart"/>
      <w:r w:rsidRPr="00CE2281">
        <w:rPr>
          <w:rFonts w:ascii="Times New Roman" w:hAnsi="Times New Roman" w:cs="Times New Roman"/>
          <w:sz w:val="22"/>
        </w:rPr>
        <w:t xml:space="preserve">AI </w:t>
      </w:r>
      <w:proofErr w:type="gramEnd"/>
    </w:p>
    <w:sectPr w:rsidR="00072237" w:rsidRPr="00CE2281"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ECC14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861030">
    <w:abstractNumId w:val="8"/>
  </w:num>
  <w:num w:numId="2" w16cid:durableId="1024790803">
    <w:abstractNumId w:val="6"/>
  </w:num>
  <w:num w:numId="3" w16cid:durableId="400906612">
    <w:abstractNumId w:val="5"/>
  </w:num>
  <w:num w:numId="4" w16cid:durableId="826166159">
    <w:abstractNumId w:val="4"/>
  </w:num>
  <w:num w:numId="5" w16cid:durableId="1012341054">
    <w:abstractNumId w:val="7"/>
  </w:num>
  <w:num w:numId="6" w16cid:durableId="1669139180">
    <w:abstractNumId w:val="3"/>
  </w:num>
  <w:num w:numId="7" w16cid:durableId="677662872">
    <w:abstractNumId w:val="2"/>
  </w:num>
  <w:num w:numId="8" w16cid:durableId="77680103">
    <w:abstractNumId w:val="1"/>
  </w:num>
  <w:num w:numId="9" w16cid:durableId="852761582">
    <w:abstractNumId w:val="0"/>
  </w:num>
  <w:num w:numId="10" w16cid:durableId="11670919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DDC"/>
    <w:rsid w:val="00034616"/>
    <w:rsid w:val="00046931"/>
    <w:rsid w:val="0006063C"/>
    <w:rsid w:val="00072237"/>
    <w:rsid w:val="000E7219"/>
    <w:rsid w:val="0015074B"/>
    <w:rsid w:val="00212855"/>
    <w:rsid w:val="0029639D"/>
    <w:rsid w:val="002E6804"/>
    <w:rsid w:val="00326F90"/>
    <w:rsid w:val="003305F8"/>
    <w:rsid w:val="00346D26"/>
    <w:rsid w:val="00380C96"/>
    <w:rsid w:val="00435BD0"/>
    <w:rsid w:val="005273D8"/>
    <w:rsid w:val="007F384E"/>
    <w:rsid w:val="00873DE9"/>
    <w:rsid w:val="00945292"/>
    <w:rsid w:val="00957DA8"/>
    <w:rsid w:val="009F0CBB"/>
    <w:rsid w:val="00AA1D8D"/>
    <w:rsid w:val="00B47730"/>
    <w:rsid w:val="00BE5816"/>
    <w:rsid w:val="00C4646C"/>
    <w:rsid w:val="00CB0664"/>
    <w:rsid w:val="00CB65D4"/>
    <w:rsid w:val="00CE2281"/>
    <w:rsid w:val="00D17D5E"/>
    <w:rsid w:val="00D70F7E"/>
    <w:rsid w:val="00E60DBC"/>
    <w:rsid w:val="00F10F20"/>
    <w:rsid w:val="00F65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A7A33"/>
  <w14:defaultImageDpi w14:val="300"/>
  <w15:docId w15:val="{623EEEAD-EAA1-4AA2-81AB-5AC5B005B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1479</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Ssenoga Herman</cp:lastModifiedBy>
  <cp:revision>5</cp:revision>
  <dcterms:created xsi:type="dcterms:W3CDTF">2026-09-06T13:23:00Z</dcterms:created>
  <dcterms:modified xsi:type="dcterms:W3CDTF">2026-09-06T13:27:00Z</dcterms:modified>
  <cp:category/>
</cp:coreProperties>
</file>