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b/>
          <w:color w:val="1F4D78"/>
          <w:sz w:val="30"/>
        </w:rPr>
        <w:t>BSE4104 Emerging Trends in Software Engineering</w:t>
      </w:r>
    </w:p>
    <w:p>
      <w:pPr>
        <w:spacing w:after="200"/>
        <w:jc w:val="center"/>
      </w:pPr>
      <w:r>
        <w:rPr>
          <w:b/>
          <w:color w:val="2E74B5"/>
          <w:sz w:val="26"/>
        </w:rPr>
        <w:t>GROUP B - EVENING CLASS</w:t>
        <w:br/>
        <w:t>Week 4 Progress Report: Tools and Function Calling</w:t>
      </w:r>
    </w:p>
    <w:tbl>
      <w:tblPr>
        <w:tblW w:type="dxa" w:w="9360"/>
        <w:tblLayout w:type="fixed"/>
        <w:tblLook w:firstColumn="1" w:firstRow="1" w:lastColumn="0" w:lastRow="0" w:noHBand="0" w:noVBand="1" w:val="04A0"/>
      </w:tblPr>
      <w:tblGrid>
        <w:gridCol w:w="2200"/>
        <w:gridCol w:w="7160"/>
      </w:tblGrid>
      <w:tr>
        <w:tc>
          <w:tcPr>
            <w:tcW w:type="dxa" w:w="2200"/>
            <w:tcMar>
              <w:top w:w="80" w:type="dxa"/>
              <w:start w:w="120" w:type="dxa"/>
              <w:bottom w:w="80" w:type="dxa"/>
              <w:end w:w="120" w:type="dxa"/>
            </w:tcMar>
            <w:vAlign w:val="center"/>
            <w:shd w:fill="F2F4F7"/>
          </w:tcPr>
          <w:p>
            <w:r>
              <w:rPr>
                <w:b/>
              </w:rPr>
              <w:t>Reporting period</w:t>
            </w:r>
          </w:p>
        </w:tc>
        <w:tc>
          <w:tcPr>
            <w:tcW w:type="dxa" w:w="7160"/>
            <w:tcMar>
              <w:top w:w="80" w:type="dxa"/>
              <w:start w:w="120" w:type="dxa"/>
              <w:bottom w:w="80" w:type="dxa"/>
              <w:end w:w="120" w:type="dxa"/>
            </w:tcMar>
            <w:vAlign w:val="center"/>
          </w:tcPr>
          <w:p>
            <w:r>
              <w:t>21-25 September 2026</w:t>
            </w:r>
          </w:p>
        </w:tc>
      </w:tr>
      <w:tr>
        <w:tc>
          <w:tcPr>
            <w:tcW w:type="dxa" w:w="2200"/>
            <w:tcMar>
              <w:top w:w="80" w:type="dxa"/>
              <w:start w:w="120" w:type="dxa"/>
              <w:bottom w:w="80" w:type="dxa"/>
              <w:end w:w="120" w:type="dxa"/>
            </w:tcMar>
            <w:vAlign w:val="center"/>
            <w:shd w:fill="F2F4F7"/>
          </w:tcPr>
          <w:p>
            <w:r>
              <w:rPr>
                <w:b/>
              </w:rPr>
              <w:t>Project</w:t>
            </w:r>
          </w:p>
        </w:tc>
        <w:tc>
          <w:tcPr>
            <w:tcW w:type="dxa" w:w="7160"/>
            <w:tcMar>
              <w:top w:w="80" w:type="dxa"/>
              <w:start w:w="120" w:type="dxa"/>
              <w:bottom w:w="80" w:type="dxa"/>
              <w:end w:w="120" w:type="dxa"/>
            </w:tcMar>
            <w:vAlign w:val="center"/>
          </w:tcPr>
          <w:p>
            <w:r>
              <w:t>Centenary Bank Customer Support AI Agent</w:t>
            </w:r>
          </w:p>
        </w:tc>
      </w:tr>
      <w:tr>
        <w:tc>
          <w:tcPr>
            <w:tcW w:type="dxa" w:w="2200"/>
            <w:tcMar>
              <w:top w:w="80" w:type="dxa"/>
              <w:start w:w="120" w:type="dxa"/>
              <w:bottom w:w="80" w:type="dxa"/>
              <w:end w:w="120" w:type="dxa"/>
            </w:tcMar>
            <w:vAlign w:val="center"/>
            <w:shd w:fill="F2F4F7"/>
          </w:tcPr>
          <w:p>
            <w:r>
              <w:rPr>
                <w:b/>
              </w:rPr>
              <w:t>ClickUp task IDs</w:t>
            </w:r>
          </w:p>
        </w:tc>
        <w:tc>
          <w:tcPr>
            <w:tcW w:type="dxa" w:w="7160"/>
            <w:tcMar>
              <w:top w:w="80" w:type="dxa"/>
              <w:start w:w="120" w:type="dxa"/>
              <w:bottom w:w="80" w:type="dxa"/>
              <w:end w:w="120" w:type="dxa"/>
            </w:tcMar>
            <w:vAlign w:val="center"/>
          </w:tcPr>
          <w:p>
            <w:r>
              <w:t>123tp5x7wnu (implementation); 123tp5x7wmq (catalogue); 123tp5x7wq3 (QA)</w:t>
            </w:r>
          </w:p>
        </w:tc>
      </w:tr>
      <w:tr>
        <w:tc>
          <w:tcPr>
            <w:tcW w:type="dxa" w:w="2200"/>
            <w:tcMar>
              <w:top w:w="80" w:type="dxa"/>
              <w:start w:w="120" w:type="dxa"/>
              <w:bottom w:w="80" w:type="dxa"/>
              <w:end w:w="120" w:type="dxa"/>
            </w:tcMar>
            <w:vAlign w:val="center"/>
            <w:shd w:fill="F2F4F7"/>
          </w:tcPr>
          <w:p>
            <w:r>
              <w:rPr>
                <w:b/>
              </w:rPr>
              <w:t>Git baseline</w:t>
            </w:r>
          </w:p>
        </w:tc>
        <w:tc>
          <w:tcPr>
            <w:tcW w:type="dxa" w:w="7160"/>
            <w:tcMar>
              <w:top w:w="80" w:type="dxa"/>
              <w:start w:w="120" w:type="dxa"/>
              <w:bottom w:w="80" w:type="dxa"/>
              <w:end w:w="120" w:type="dxa"/>
            </w:tcMar>
            <w:vAlign w:val="center"/>
          </w:tcPr>
          <w:p>
            <w:r>
              <w:t>4d511f0</w:t>
            </w:r>
          </w:p>
        </w:tc>
      </w:tr>
    </w:tbl>
    <w:p/>
    <w:p>
      <w:pPr>
        <w:pStyle w:val="Heading1"/>
      </w:pPr>
      <w:r>
        <w:t>1. Objective</w:t>
      </w:r>
    </w:p>
    <w:p>
      <w:r>
        <w:t>Week 4 moved the system beyond grounded answer generation by introducing explicit, bounded software tools. The model can request a tool, but the application/orchestration layer decides whether that request is valid, authorized and safe to execute. The implementation uses synthetic in-memory data and does not connect to live Centenary Bank systems.</w:t>
      </w:r>
    </w:p>
    <w:p>
      <w:pPr>
        <w:pStyle w:val="Heading1"/>
      </w:pPr>
      <w:r>
        <w:t>2. Implementation completed</w:t>
      </w:r>
    </w:p>
    <w:p>
      <w:r>
        <w:t>The team added a Python tool layer beside the Week 3 RAG pipeline. The ToolOrchestrator maintains an allow-list, validates arguments against each tool schema, injects trusted session identity and approval data, checks authorization, executes the tool, validates the output and returns structured success or failure results.</w:t>
      </w:r>
    </w:p>
    <w:p>
      <w:pPr>
        <w:pStyle w:val="ListBullet"/>
        <w:spacing w:after="80"/>
      </w:pPr>
      <w:r>
        <w:t>get_service_status retrieves supported service status from synthetic demo data.</w:t>
      </w:r>
    </w:p>
    <w:p>
      <w:pPr>
        <w:pStyle w:val="ListBullet"/>
        <w:spacing w:after="80"/>
      </w:pPr>
      <w:r>
        <w:t>get_ticket_status returns a ticket only when it belongs to the authenticated customer.</w:t>
      </w:r>
    </w:p>
    <w:p>
      <w:pPr>
        <w:pStyle w:val="ListBullet"/>
        <w:spacing w:after="80"/>
      </w:pPr>
      <w:r>
        <w:t>create_support_ticket creates a low-risk simulated ticket using the session customer ID.</w:t>
      </w:r>
    </w:p>
    <w:p>
      <w:pPr>
        <w:pStyle w:val="ListBullet"/>
        <w:spacing w:after="80"/>
      </w:pPr>
      <w:r>
        <w:t>escalate_support_case requires a valid request-bound approval token and explicit human approval.</w:t>
      </w:r>
    </w:p>
    <w:p>
      <w:r>
        <w:t>The catalogue is in docs/requirements/Week4_Tool_Catalogue.docx. The updated architecture is in docs/architecture/updated-agent-architecture.md and shows the registry, validation, authorization, approval and structured-trace path.</w:t>
      </w:r>
    </w:p>
    <w:p>
      <w:pPr>
        <w:pStyle w:val="Heading1"/>
      </w:pPr>
      <w:r>
        <w:t>3. Controls and evaluation</w:t>
      </w:r>
    </w:p>
    <w:p>
      <w:r>
        <w:t>The implementation tests missing and malformed parameters, unknown tools and service names, unauthenticated sessions, cross-customer ticket access, attempts to override the session customer ID, unavailable services and malformed downstream responses. Higher-impact escalation returns pending_approval without approval; approval tokens are bound to the exact case reference, reason and urgency and are consumed after successful use.</w:t>
      </w:r>
    </w:p>
    <w:tbl>
      <w:tblPr>
        <w:tblW w:type="dxa" w:w="9360"/>
        <w:tblLayout w:type="fixed"/>
        <w:tblLook w:firstColumn="1" w:firstRow="1" w:lastColumn="0" w:lastRow="0" w:noHBand="0" w:noVBand="1" w:val="04A0"/>
      </w:tblPr>
      <w:tblGrid>
        <w:gridCol w:w="3300"/>
        <w:gridCol w:w="3600"/>
        <w:gridCol w:w="2460"/>
      </w:tblGrid>
      <w:tr>
        <w:tc>
          <w:tcPr>
            <w:tcW w:type="dxa" w:w="3300"/>
            <w:tcMar>
              <w:top w:w="80" w:type="dxa"/>
              <w:start w:w="120" w:type="dxa"/>
              <w:bottom w:w="80" w:type="dxa"/>
              <w:end w:w="120" w:type="dxa"/>
            </w:tcMar>
            <w:vAlign w:val="center"/>
            <w:shd w:fill="F2F4F7"/>
          </w:tcPr>
          <w:p>
            <w:r>
              <w:rPr>
                <w:b/>
              </w:rPr>
              <w:t>Evidence</w:t>
            </w:r>
          </w:p>
        </w:tc>
        <w:tc>
          <w:tcPr>
            <w:tcW w:type="dxa" w:w="3600"/>
            <w:tcMar>
              <w:top w:w="80" w:type="dxa"/>
              <w:start w:w="120" w:type="dxa"/>
              <w:bottom w:w="80" w:type="dxa"/>
              <w:end w:w="120" w:type="dxa"/>
            </w:tcMar>
            <w:vAlign w:val="center"/>
            <w:shd w:fill="F2F4F7"/>
          </w:tcPr>
          <w:p>
            <w:r>
              <w:rPr>
                <w:b/>
              </w:rPr>
              <w:t>Location</w:t>
            </w:r>
          </w:p>
        </w:tc>
        <w:tc>
          <w:tcPr>
            <w:tcW w:type="dxa" w:w="2460"/>
            <w:tcMar>
              <w:top w:w="80" w:type="dxa"/>
              <w:start w:w="120" w:type="dxa"/>
              <w:bottom w:w="80" w:type="dxa"/>
              <w:end w:w="120" w:type="dxa"/>
            </w:tcMar>
            <w:vAlign w:val="center"/>
            <w:shd w:fill="F2F4F7"/>
          </w:tcPr>
          <w:p>
            <w:r>
              <w:rPr>
                <w:b/>
              </w:rPr>
              <w:t>Result</w:t>
            </w:r>
          </w:p>
        </w:tc>
      </w:tr>
      <w:tr>
        <w:tc>
          <w:tcPr>
            <w:tcW w:type="dxa" w:w="3300"/>
          </w:tcPr>
          <w:p>
            <w:r>
              <w:t>Automated QA</w:t>
            </w:r>
          </w:p>
        </w:tc>
        <w:tc>
          <w:tcPr>
            <w:tcW w:type="dxa" w:w="3600"/>
          </w:tcPr>
          <w:p>
            <w:r>
              <w:t>tests/week4/test_tool_orchestrator.py</w:t>
            </w:r>
          </w:p>
        </w:tc>
        <w:tc>
          <w:tcPr>
            <w:tcW w:type="dxa" w:w="2460"/>
          </w:tcPr>
          <w:p>
            <w:r>
              <w:t>17 tests passed</w:t>
            </w:r>
          </w:p>
        </w:tc>
      </w:tr>
      <w:tr>
        <w:tc>
          <w:tcPr>
            <w:tcW w:type="dxa" w:w="3300"/>
          </w:tcPr>
          <w:p>
            <w:r>
              <w:t>Tool catalogue</w:t>
            </w:r>
          </w:p>
        </w:tc>
        <w:tc>
          <w:tcPr>
            <w:tcW w:type="dxa" w:w="3600"/>
          </w:tcPr>
          <w:p>
            <w:r>
              <w:t>docs/requirements/Week4_Tool_Catalogue.docx</w:t>
            </w:r>
          </w:p>
        </w:tc>
        <w:tc>
          <w:tcPr>
            <w:tcW w:type="dxa" w:w="2460"/>
          </w:tcPr>
          <w:p>
            <w:r>
              <w:t>Submitted</w:t>
            </w:r>
          </w:p>
        </w:tc>
      </w:tr>
      <w:tr>
        <w:tc>
          <w:tcPr>
            <w:tcW w:type="dxa" w:w="3300"/>
          </w:tcPr>
          <w:p>
            <w:r>
              <w:t>Failure/authorization QA</w:t>
            </w:r>
          </w:p>
        </w:tc>
        <w:tc>
          <w:tcPr>
            <w:tcW w:type="dxa" w:w="3600"/>
          </w:tcPr>
          <w:p>
            <w:r>
              <w:t>docs/evaluation/Week-4-Tool-QA.md</w:t>
            </w:r>
          </w:p>
        </w:tc>
        <w:tc>
          <w:tcPr>
            <w:tcW w:type="dxa" w:w="2460"/>
          </w:tcPr>
          <w:p>
            <w:r>
              <w:t>17 scenarios pass</w:t>
            </w:r>
          </w:p>
        </w:tc>
      </w:tr>
    </w:tbl>
    <w:p>
      <w:r>
        <w:t>Reproduction: python -m unittest discover -s tests/week4 -v; python evidence/demo/centenary-RAG/demo.py</w:t>
      </w:r>
    </w:p>
    <w:p>
      <w:pPr>
        <w:pStyle w:val="Heading1"/>
      </w:pPr>
      <w:r>
        <w:t>4. Integration, limitations and next step</w:t>
      </w:r>
    </w:p>
    <w:p>
      <w:r>
        <w:t>Week 2 supplied the Gemini model and versioned prompt. Week 3 supplied the controlled 24-record corpus, RAG pipeline and retrieval evaluation. Week 4 retains the RAG search contract and adds tools as a separate controlled capability. The data, identity context, approval tokens and backends remain academic fixtures, not production controls. A malformed downstream ticket response also exposes a remaining idempotency risk that would require reconciliation in production.</w:t>
      </w:r>
    </w:p>
    <w:p>
      <w:r>
        <w:t>Week 5 should use this tool layer in a bounded multi-step agent loop with iteration limits, stop conditions, recovery behaviour and execution traces.</w:t>
      </w:r>
    </w:p>
    <w:p>
      <w:pPr>
        <w:pStyle w:val="Heading1"/>
      </w:pPr>
      <w:r>
        <w:t>5. Team contribution evidence</w:t>
      </w:r>
    </w:p>
    <w:p>
      <w:r>
        <w:t>The shared Git history records Yusuf Mugoya implementing the tool orchestration and demo, Ssenoga Herman submitting the tool catalogue, and Mariam Wambui updating the failure and authorization evidence. This report consolidates those contributions for the group delivery and links them to ClickUp tasks 123tp5x7wnu, 123tp5x7wmq and 123tp5x7wq3.</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Group B | Week 4 | BSE4104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1F4D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