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480"/>
              <w:left w:type="dxa" w:w="360"/>
              <w:bottom w:type="dxa" w:w="480"/>
              <w:right w:type="dxa" w:w="360"/>
            </w:tcMar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AI Adoption Stage Classifier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BDD7EE"/>
                <w:sz w:val="24"/>
                <w:szCs w:val="24"/>
              </w:rPr>
              <w:t xml:space="preserve">ML2 Group Assignment  —  MBDS 2026</w:t>
            </w:r>
          </w:p>
          <w:p>
            <w:pPr>
              <w:spacing w:after="0" w:before="120"/>
              <w:jc w:val="center"/>
            </w:pPr>
            <w:r>
              <w:rPr>
                <w:rFonts w:ascii="Arial" w:cs="Arial" w:eastAsia="Arial" w:hAnsi="Arial"/>
                <w:i/>
                <w:iCs/>
                <w:color w:val="BDD7EE"/>
                <w:sz w:val="22"/>
                <w:szCs w:val="22"/>
              </w:rPr>
              <w:t xml:space="preserve">Technical Summary Report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Executive Summary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report summarises the ML2 Group Assignment, which develops a multi-class classification model to predict a company’s AI adoption stage from operational and financial metrics. The target variable has four classes: none, pilot, partial, and full.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dataset contains 150,000 records across 43 variables spanning company characteristics, AI investment metrics, workforce impact, and financial outcomes. After removing a leaking feature (ai_adoption_rate — a direct encoding of the target), 36 features were retained and processed into 101 inputs after one-hot encoding.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Three models were trained and evaluated in progression: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Decision Tree — interpretable baseline; highlights overfitting problem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Random Forest — ensemble via bagging; stable and well-validated via OOB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XGBoost — sequential boosting; best overall performance (F1-macro 0.783, gap 1.61%)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4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XGBoost is the recommended production model. With an optimised cutoff of 0.79 on the RF, F1-macro reaches 0.80 — marginally above XGBoost at default threshold. Final model choice depends on the business objective: precision vs. recall for the ‘full’ class.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BDD7EE" w:sz="4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Dataset &amp; Preprocessing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Dataset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Attribute</w:t>
            </w:r>
          </w:p>
        </w:tc>
        <w:tc>
          <w:tcPr>
            <w:tcW w:type="dxa" w:w="58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records</w:t>
            </w:r>
          </w:p>
        </w:tc>
        <w:tc>
          <w:tcPr>
            <w:tcW w:type="dxa" w:w="58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150,000</w:t>
            </w:r>
          </w:p>
        </w:tc>
      </w:tr>
      <w:tr>
        <w:tc>
          <w:tcPr>
            <w:tcW w:type="dxa" w:w="3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Original features</w:t>
            </w:r>
          </w:p>
        </w:tc>
        <w:tc>
          <w:tcPr>
            <w:tcW w:type="dxa" w:w="58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43</w:t>
            </w:r>
          </w:p>
        </w:tc>
      </w:tr>
      <w:tr>
        <w:tc>
          <w:tcPr>
            <w:tcW w:type="dxa" w:w="3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Features after leakage removal</w:t>
            </w:r>
          </w:p>
        </w:tc>
        <w:tc>
          <w:tcPr>
            <w:tcW w:type="dxa" w:w="58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36</w:t>
            </w:r>
          </w:p>
        </w:tc>
      </w:tr>
      <w:tr>
        <w:tc>
          <w:tcPr>
            <w:tcW w:type="dxa" w:w="3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Features after one-hot encoding</w:t>
            </w:r>
          </w:p>
        </w:tc>
        <w:tc>
          <w:tcPr>
            <w:tcW w:type="dxa" w:w="58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101</w:t>
            </w:r>
          </w:p>
        </w:tc>
      </w:tr>
      <w:tr>
        <w:tc>
          <w:tcPr>
            <w:tcW w:type="dxa" w:w="3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Train / Test split</w:t>
            </w:r>
          </w:p>
        </w:tc>
        <w:tc>
          <w:tcPr>
            <w:tcW w:type="dxa" w:w="58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70% / 30% (stratified)</w:t>
            </w:r>
          </w:p>
        </w:tc>
      </w:tr>
      <w:tr>
        <w:tc>
          <w:tcPr>
            <w:tcW w:type="dxa" w:w="3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Train set size</w:t>
            </w:r>
          </w:p>
        </w:tc>
        <w:tc>
          <w:tcPr>
            <w:tcW w:type="dxa" w:w="58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105,000</w:t>
            </w:r>
          </w:p>
        </w:tc>
      </w:tr>
      <w:tr>
        <w:tc>
          <w:tcPr>
            <w:tcW w:type="dxa" w:w="3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set size</w:t>
            </w:r>
          </w:p>
        </w:tc>
        <w:tc>
          <w:tcPr>
            <w:tcW w:type="dxa" w:w="58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45,000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Class Distribution (Target Variable)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dataset is heavily imbalanced. The ‘partial’ and ‘pilot’ classes dominate, while ‘full’ adoption is extremely rare at 1.1%.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Records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of Total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Challenge</w:t>
            </w:r>
          </w:p>
        </w:tc>
      </w:tr>
      <w:tr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full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1,685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1.1%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Extremely rare — key minority class</w:t>
            </w:r>
          </w:p>
        </w:tc>
      </w:tr>
      <w:tr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none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5,198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3.5%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Rare but detectable</w:t>
            </w:r>
          </w:p>
        </w:tc>
      </w:tr>
      <w:tr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partial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78,800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52.5%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Dominant class</w:t>
            </w:r>
          </w:p>
        </w:tc>
      </w:tr>
      <w:tr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pilot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64,317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42.9%</w:t>
            </w:r>
          </w:p>
        </w:tc>
        <w:tc>
          <w:tcPr>
            <w:tcW w:type="dxa" w:w="23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Second-largest class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Key Preprocessing Decisions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Stratified 70/30 train/test split performed before any preprocessing to prevent data leakage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ai_adoption_rate dropped — identified as a direct encoding of the target (non-overlapping value ranges per class)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Median imputation for numeric features; mode imputation + one-hot encoding for categorical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class_weight=‘balanced_subsample’ used for RF and XGBoost to handle class imbalance without SMOTE</w:t>
      </w:r>
    </w:p>
    <w:p>
      <w:pPr>
        <w:spacing w:after="0" w:before="120"/>
      </w:pPr>
      <w:r>
        <w:t xml:space="preserve"/>
      </w:r>
    </w:p>
    <w:p>
      <w:pPr>
        <w:pBdr>
          <w:bottom w:val="single" w:color="BDD7EE" w:sz="4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Model Development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Model 1 — Decision Tree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Decision Tree serves as the interpretable baseline. The unpruned tree grows to depth 52 with 9,124 leaves, achieving 100% F1-macro on training but only 74.56% on test — a textbook overfitting case.</w:t>
      </w:r>
    </w:p>
    <w:p>
      <w:pPr>
        <w:spacing w:after="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Pruning via GridSearchCV (5-fold CV)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Search grid: max_depth ∈ [3–11], min_samples_leaf ∈ [10, 20, 50, 100]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Best parameters: max_depth=11, min_samples_leaf=10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Best CV F1-macro: 0.749</w:t>
      </w:r>
    </w:p>
    <w:p>
      <w:pPr>
        <w:spacing w:after="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Pruned Tree — Test Set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F1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Support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0.19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0.77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0.30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506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none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1,559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0.82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23,640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pilot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0.82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0.86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19,295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Macro avg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0.72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0.85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0.74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45,000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Model 2 — Random Forest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Random Forest adds bagging and random feature subsampling at each split, decorrelating the trees and substantially reducing variance vs. the single Decision Tree.</w:t>
      </w:r>
    </w:p>
    <w:p>
      <w:pPr>
        <w:spacing w:after="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Tuning &amp;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GridSearchCV (3-fold): max_features ∈ [’sqrt’, ’log2’, 0.1], max_depth ∈ [3–9], min_samples_leaf ∈ [10, 20, 50]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Best parameters: max_depth=9, max_features=’sqrt’, min_samples_leaf=10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Optimal number of trees via OOB curve: 90 trees (plateau reached early)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OOB score used for cutoff optimisation — no separate validation set needed</w:t>
      </w:r>
    </w:p>
    <w:p>
      <w:pPr>
        <w:spacing w:after="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Feature Reduction Experiment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Retrained RF using only top-15 permutation importance features. Result: F1-macro dropped from 0.763 to 0.639 (12pp) — confirming that signal is broadly distributed and the full feature set is needed.</w:t>
      </w:r>
    </w:p>
    <w:p>
      <w:pPr>
        <w:spacing w:after="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Cutoff Optimisation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Default threshold of 0.50 gives 'full' class precision of only 0.24. Using OOB probabilities to find the optimal threshold: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Optimal threshold: 0.79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'full' precision: 0.24 → 0.45 (doubling)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'full' recall: 0.86 → 0.54 (trade-off)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Overall F1-macro: 0.763 → 0.80</w:t>
      </w:r>
    </w:p>
    <w:p>
      <w:pPr>
        <w:spacing w:after="0" w:before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Model 3 — XGBoost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XGBoost uses sequential boosting: each tree corrects the residuals of the previous one, with L1/L2 regularisation in the objective function. Key distinction from RF: adding too many trees risks overfitting.</w:t>
      </w:r>
    </w:p>
    <w:p>
      <w:pPr>
        <w:spacing w:after="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Tuning &amp;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GridSearchCV (3-fold): max_depth ∈ [3, 5, 7], min_child_weight ∈ [10, 20, 50], subsample ∈ [0.8, 1.0]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Best parameters: max_depth=5, min_child_weight=50, subsample=1.0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CV F1-macro: 0.9012 (highest of all three models)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Optimal trees via learning curve: 300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Overfitting gap: 1.61% — model is consistent and robust</w:t>
      </w:r>
    </w:p>
    <w:p>
      <w:pPr>
        <w:spacing w:after="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XGBoost — Test Set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F1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Support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0.39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506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none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1,559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0.83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0.86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23,640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pilot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0.88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19,295</w:t>
            </w:r>
          </w:p>
        </w:tc>
      </w:tr>
      <w:tr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Macro avg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0.90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0.78</w:t>
            </w:r>
          </w:p>
        </w:tc>
        <w:tc>
          <w:tcPr>
            <w:tcW w:type="dxa" w:w="1872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45,000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BDD7EE" w:sz="4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Model Comparison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187"/>
        <w:gridCol w:w="2187"/>
        <w:gridCol w:w="2186"/>
      </w:tblGrid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Tree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218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XGBoost</w:t>
            </w:r>
          </w:p>
        </w:tc>
      </w:tr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CV F1-macro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0.749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0.768</w:t>
            </w:r>
          </w:p>
        </w:tc>
        <w:tc>
          <w:tcPr>
            <w:tcW w:type="dxa" w:w="218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0.901</w:t>
            </w:r>
          </w:p>
        </w:tc>
      </w:tr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Test F1-macro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0.742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0.763</w:t>
            </w:r>
          </w:p>
        </w:tc>
        <w:tc>
          <w:tcPr>
            <w:tcW w:type="dxa" w:w="218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0.783</w:t>
            </w:r>
          </w:p>
        </w:tc>
      </w:tr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Test Accuracy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0.822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0.833</w:t>
            </w:r>
          </w:p>
        </w:tc>
        <w:tc>
          <w:tcPr>
            <w:tcW w:type="dxa" w:w="218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0.862</w:t>
            </w:r>
          </w:p>
        </w:tc>
      </w:tr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Recall-macro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0.852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0.880</w:t>
            </w:r>
          </w:p>
        </w:tc>
        <w:tc>
          <w:tcPr>
            <w:tcW w:type="dxa" w:w="218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0.903</w:t>
            </w:r>
          </w:p>
        </w:tc>
      </w:tr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Precision-macro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0.720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0.735</w:t>
            </w:r>
          </w:p>
        </w:tc>
        <w:tc>
          <w:tcPr>
            <w:tcW w:type="dxa" w:w="218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0.754</w:t>
            </w:r>
          </w:p>
        </w:tc>
      </w:tr>
      <w:tr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Overfitting Gap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~25pp</w:t>
            </w:r>
          </w:p>
        </w:tc>
        <w:tc>
          <w:tcPr>
            <w:tcW w:type="dxa" w:w="2187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Small</w:t>
            </w:r>
          </w:p>
        </w:tc>
        <w:tc>
          <w:tcPr>
            <w:tcW w:type="dxa" w:w="2186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1.61%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4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XGBoost wins on every metric. The CV F1-macro of 0.901 vs. test F1-macro of 0.783 reflects the sequential nature of boosting — the CV score was computed per-fold during GridSearch (not on the full test set), and XGBoost’s regularisation prevents this from translating to overfitting on test.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Model Progression Narrative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three models tell a deliberate story aligned with the ML2 curriculum: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Decision Tree: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Decision Tree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Interpretable baseline. Unpruned tree massively overfits (100% train → 74.6% test). Pruning via GridSearch reduces the gap but F1 remains limited. Establishes the overfitting problem clearly.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Random Forest: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Random Forest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Parallel ensemble. Bagging + random feature subsampling reduces variance. OOB validation eliminates the need for a separate validation set. Stable and robust, but 'full' recall plateaus.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XGBoost: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XGBoost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Sequential ensemble. Corrects residuals from previous trees. L1/L2 regularisation directly in objective function. Achieves 89% recall on the rarest class ('full') with minimal overfitting.</w:t>
      </w:r>
    </w:p>
    <w:p>
      <w:pPr>
        <w:spacing w:after="0" w:before="120"/>
      </w:pPr>
      <w:r>
        <w:t xml:space="preserve"/>
      </w:r>
    </w:p>
    <w:p>
      <w:pPr>
        <w:pBdr>
          <w:bottom w:val="single" w:color="BDD7EE" w:sz="4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Key Findings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Feature Importance (Consistent Across Models)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following features emerged as most predictive across all three models and both importance methods (impurity-based and permutation):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ai_maturity_score</w:t>
            </w:r>
          </w:p>
        </w:tc>
        <w:tc>
          <w:tcPr>
            <w:tcW w:type="dxa" w:w="6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Strongest single predictor across all models. SHAP shows high values push predictions toward 'full'.</w:t>
            </w:r>
          </w:p>
        </w:tc>
      </w:tr>
      <w:tr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years_using_ai</w:t>
            </w:r>
          </w:p>
        </w:tc>
        <w:tc>
          <w:tcPr>
            <w:tcW w:type="dxa" w:w="6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Sustained investment over time is the key driver of progression.</w:t>
            </w:r>
          </w:p>
        </w:tc>
      </w:tr>
      <w:tr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ai_budget_percentage</w:t>
            </w:r>
          </w:p>
        </w:tc>
        <w:tc>
          <w:tcPr>
            <w:tcW w:type="dxa" w:w="6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Budget allocation signals organisational commitment to AI.</w:t>
            </w:r>
          </w:p>
        </w:tc>
      </w:tr>
      <w:tr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ai_training_hours</w:t>
            </w:r>
          </w:p>
        </w:tc>
        <w:tc>
          <w:tcPr>
            <w:tcW w:type="dxa" w:w="6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Workforce development directly correlates with adoption stage.</w:t>
            </w:r>
          </w:p>
        </w:tc>
      </w:tr>
      <w:tr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country / quarter</w:t>
            </w:r>
          </w:p>
        </w:tc>
        <w:tc>
          <w:tcPr>
            <w:tcW w:type="dxa" w:w="6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Geography and seasonality matter — adoption influenced by external market context.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Class Imbalance Handling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class_weight=‘balanced_subsample’ used for RF and XGBoost — recomputes weights per bootstrap sample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No SMOTE required — weight-based approach sufficient given the dataset size (150k records)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Cutoff optimisation on OOB probabilities provided additional control for the 'full' minority class</w:t>
      </w:r>
    </w:p>
    <w:p>
      <w:pPr>
        <w:spacing w:after="0" w:before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Data Leakage Detection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 critical data quality issue was identified and corrected: ai_adoption_rate was a direct numerical encoding of the target variable (non-overlapping value ranges: 'none' = 0–9.99, 'pilot' = 10–34.99, 'partial' = 35–69.99, 'full' = 70–100). Including this feature produced 100% F1-macro across all models — not a real result. The feature was removed prior to all model training.</w:t>
      </w:r>
    </w:p>
    <w:p>
      <w:pPr>
        <w:spacing w:after="0" w:before="120"/>
      </w:pPr>
      <w:r>
        <w:t xml:space="preserve"/>
      </w:r>
    </w:p>
    <w:p>
      <w:pPr>
        <w:pBdr>
          <w:bottom w:val="single" w:color="BDD7EE" w:sz="4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Business Recommendations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Model as Diagnostic Tool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Given any company’s operational metrics, the model outputs its current AI adoption stage and — via SHAP values — the specific bottleneck blocking progression to the next stage. This replaces lengthy manual consultancy assessments.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Threshold Selection by Use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Recommended Threshold</w:t>
            </w:r>
          </w:p>
        </w:tc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Identify reference cases / benchmarks</w:t>
            </w:r>
          </w:p>
        </w:tc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0.79 (high precision)</w:t>
            </w:r>
          </w:p>
        </w:tc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Precision 0.24 → 0.45. Fewer false positives = fewer wasted client meetings.</w:t>
            </w:r>
          </w:p>
        </w:tc>
      </w:tr>
      <w:tr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Broad screening / outreach</w:t>
            </w:r>
          </w:p>
        </w:tc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0.50 (high recall)</w:t>
            </w:r>
          </w:p>
        </w:tc>
        <w:tc>
          <w:tcPr>
            <w:tcW w:type="dxa" w:w="312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Recall 0.86. Maximise detection of all potential 'full' adopters.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Actionable KPIs for Managers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Prioritise ai_maturity_score as the primary quarterly KPI — the single strongest predictor across all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Invest in ai_training_hours — workforce upskilling is one of the few directly controllable levers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Maintain ai_budget_percentage above 10% — sustained budget allocation signals long-term commitment and drives adoption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Technology and Finance sectors progress fastest — prioritise retention and AI talent investment in these verticals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Geography matters — market context and regulatory environment affect adoption; adjust intervention strategies by region</w:t>
      </w:r>
    </w:p>
    <w:p>
      <w:pPr>
        <w:spacing w:after="0" w:before="120"/>
      </w:pPr>
      <w:r>
        <w:t xml:space="preserve"/>
      </w:r>
    </w:p>
    <w:p>
      <w:pPr>
        <w:pBdr>
          <w:bottom w:val="single" w:color="BDD7EE" w:sz="4"/>
        </w:pBdr>
        <w:spacing w:after="12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Appendix: Notebook Structure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notebook is organised into 8 sections covering the full ML2 curriculum: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4680"/>
        <w:gridCol w:w="3240"/>
      </w:tblGrid>
      <w:tr>
        <w:tc>
          <w:tcPr>
            <w:tcW w:type="dxa" w:w="21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21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Content</w:t>
            </w:r>
          </w:p>
        </w:tc>
        <w:tc>
          <w:tcPr>
            <w:tcW w:type="dxa" w:w="21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Output</w:t>
            </w:r>
          </w:p>
        </w:tc>
      </w:tr>
      <w:tr>
        <w:tc>
          <w:tcPr>
            <w:tcW w:type="dxa" w:w="14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0–3</w:t>
            </w:r>
          </w:p>
        </w:tc>
        <w:tc>
          <w:tcPr>
            <w:tcW w:type="dxa" w:w="4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Setup, Data Loading, EDA, Preprocessing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Class distribution, correlation heatmap, leakage detection</w:t>
            </w:r>
          </w:p>
        </w:tc>
      </w:tr>
      <w:tr>
        <w:tc>
          <w:tcPr>
            <w:tcW w:type="dxa" w:w="14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Decision Tree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Overfitting demonstration, pruning, tree visualisation, feature importances</w:t>
            </w:r>
          </w:p>
        </w:tc>
      </w:tr>
      <w:tr>
        <w:tc>
          <w:tcPr>
            <w:tcW w:type="dxa" w:w="14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4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OOB tree selection, permutation importances, SHAP, feature reduction, cutoff optimisation</w:t>
            </w:r>
          </w:p>
        </w:tc>
      </w:tr>
      <w:tr>
        <w:tc>
          <w:tcPr>
            <w:tcW w:type="dxa" w:w="14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4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XGBoost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Learning curve, GridSearch, SHAP comparison with RF</w:t>
            </w:r>
          </w:p>
        </w:tc>
      </w:tr>
      <w:tr>
        <w:tc>
          <w:tcPr>
            <w:tcW w:type="dxa" w:w="14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4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Comparison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3-model table with CV + test metrics</w:t>
            </w:r>
          </w:p>
        </w:tc>
      </w:tr>
      <w:tr>
        <w:tc>
          <w:tcPr>
            <w:tcW w:type="dxa" w:w="14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468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Conclusions</w:t>
            </w:r>
          </w:p>
        </w:tc>
        <w:tc>
          <w:tcPr>
            <w:tcW w:type="dxa" w:w="324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Technical summary, key findings, manager recommendations</w:t>
            </w:r>
          </w:p>
        </w:tc>
      </w:tr>
    </w:tbl>
    <w:p>
      <w:pPr>
        <w:spacing w:after="0" w:before="120"/>
      </w:pPr>
      <w:r>
        <w:t xml:space="preserve"/>
      </w:r>
    </w:p>
    <w:sectPr>
      <w:footerReference w:type="default" r:id="rId7"/>
      <w:pgSz w:w="12240" w:h="15840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AI Adoption Stage Classifier  |  MBDS 2026  |  ML2 Group Assignment  |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2026-03-20T15:04:20.022Z</dcterms:created>
  <dcterms:modified xsi:type="dcterms:W3CDTF">2026-03-20T15:04:20.023Z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