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w:r>
    </w:p>
    <w:p>
      <w:pPr>
        <w:spacing w:after="200"/>
        <w:jc w:val="center"/>
      </w:pPr>
      <w:r>
        <w:rPr>
          <w:rFonts w:ascii="Arial" w:cs="Arial" w:eastAsia="Arial" w:hAnsi="Arial"/>
          <w:b/>
          <w:bCs/>
          <w:color w:val="1F3864"/>
          <w:sz w:val="56"/>
          <w:szCs w:val="56"/>
        </w:rPr>
        <w:t xml:space="preserve">Technical Annex</w:t>
      </w:r>
    </w:p>
    <w:p>
      <w:pPr>
        <w:spacing w:after="200"/>
        <w:jc w:val="center"/>
      </w:pPr>
      <w:r>
        <w:rPr>
          <w:rFonts w:ascii="Arial" w:cs="Arial" w:eastAsia="Arial" w:hAnsi="Arial"/>
          <w:i/>
          <w:iCs/>
          <w:color w:val="2E75B6"/>
          <w:sz w:val="36"/>
          <w:szCs w:val="36"/>
        </w:rPr>
        <w:t xml:space="preserve">Predicting AI Adoption Stages in Enterprises</w:t>
      </w:r>
    </w:p>
    <w:p>
      <w:pPr>
        <w:spacing w:after="60" w:before="60"/>
      </w:pPr>
      <w:r>
        <w:rPr>
          <w:rFonts w:ascii="Arial" w:cs="Arial" w:eastAsia="Arial" w:hAnsi="Arial"/>
          <w:b w:val="false"/>
          <w:bCs w:val="false"/>
          <w:sz w:val="22"/>
          <w:szCs w:val="22"/>
        </w:rPr>
        <w:t xml:space="preserve"/>
      </w:r>
    </w:p>
    <w:p>
      <w:pPr>
        <w:spacing w:after="100"/>
        <w:jc w:val="center"/>
      </w:pPr>
      <w:r>
        <w:rPr>
          <w:rFonts w:ascii="Arial" w:cs="Arial" w:eastAsia="Arial" w:hAnsi="Arial"/>
          <w:sz w:val="28"/>
          <w:szCs w:val="28"/>
        </w:rPr>
        <w:t xml:space="preserve">Machine Learning II Group Assignment</w:t>
      </w:r>
    </w:p>
    <w:p>
      <w:pPr>
        <w:spacing w:after="100"/>
        <w:jc w:val="center"/>
      </w:pPr>
      <w:r>
        <w:rPr>
          <w:rFonts w:ascii="Arial" w:cs="Arial" w:eastAsia="Arial" w:hAnsi="Arial"/>
          <w:sz w:val="24"/>
          <w:szCs w:val="24"/>
        </w:rPr>
        <w:t xml:space="preserve">Group 3 — Master in Business Data Science (MBDS) 2026</w:t>
      </w:r>
    </w:p>
    <w:p>
      <w:pPr>
        <w:spacing w:after="100"/>
        <w:jc w:val="center"/>
      </w:pPr>
      <w:r>
        <w:rPr>
          <w:rFonts w:ascii="Arial" w:cs="Arial" w:eastAsia="Arial" w:hAnsi="Arial"/>
          <w:sz w:val="24"/>
          <w:szCs w:val="24"/>
        </w:rPr>
        <w:t xml:space="preserve">IE University — March 2026</w:t>
      </w:r>
    </w:p>
    <w:p>
      <w:r>
        <w:br w:type="page"/>
      </w:r>
    </w:p>
    <w:p>
      <w:pPr>
        <w:pStyle w:val="Heading1"/>
        <w:spacing w:after="120" w:before="24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color w:val="1F3864"/>
          <w:sz w:val="32"/>
          <w:szCs w:val="32"/>
        </w:rPr>
        <w:t xml:space="preserve">Section 1: Data Dictionary (Variable Codebook)</w:t>
      </w:r>
    </w:p>
    <w:p>
      <w:pPr>
        <w:spacing w:after="60" w:before="60"/>
      </w:pPr>
      <w:r>
        <w:rPr>
          <w:rFonts w:ascii="Arial" w:cs="Arial" w:eastAsia="Arial" w:hAnsi="Arial"/>
          <w:b w:val="false"/>
          <w:bCs w:val="false"/>
          <w:sz w:val="22"/>
          <w:szCs w:val="22"/>
        </w:rPr>
        <w:t xml:space="preserve">The dataset contains 43 variables collected across four annual survey waves (2023–2026). The table below provides the complete codebook.</w:t>
      </w:r>
    </w:p>
    <w:p>
      <w:pPr>
        <w:spacing w:after="60" w:before="60"/>
      </w:pPr>
      <w:r>
        <w:rPr>
          <w:rFonts w:ascii="Arial" w:cs="Arial" w:eastAsia="Arial" w:hAnsi="Arial"/>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Variable</w:t>
            </w:r>
          </w:p>
        </w:tc>
        <w:tc>
          <w:tcPr>
            <w:tcW w:type="dxa" w:w="16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Type</w:t>
            </w:r>
          </w:p>
        </w:tc>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Range / Values</w:t>
            </w:r>
          </w:p>
        </w:tc>
        <w:tc>
          <w:tcPr>
            <w:tcW w:type="dxa" w:w="4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response_id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 – N</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Unique survey response identifier</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company_id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 – N</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Panel key linking observations across waves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survey_year</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2023 – 2026</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 the survey was administered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quarter</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Q1, Q2, Q3, Q4</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Quarter of the survey wave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country</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Country of company headquarters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region</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Geographic region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industry</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Industry classification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company_size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Small / Medium / Large / Enterprise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Size bracket</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num_employees</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&gt;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Total number of employees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annual_revenue_usd_millions</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&gt;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Annual revenue in USD millions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company_founding_year</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Various</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 the company was founded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company_age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Age of the company in years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company_age_group</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Groups</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Bucketed company age group</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ai_adoption_rate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DROPPED — direct leakage with target variable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ai_adoption_stage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 (TARGET)</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none / pilot / partial / full</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Target variable — AI adoption maturity stage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years_using_ai</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Years since first AI deployment</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ai_primary_tool</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Primary AI tool or platform in use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num_ai_tools_used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Number of distinct AI tools deployed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ai_use_case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Dominant AI use case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ai_projects_active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Number of active AI projects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ai_training_hours</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Annual AI training hours per employee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ai_budget_percentage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Percentage of IT budget allocated to AI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ai_maturity_score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Composite AI maturity score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ai_failure_rate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Fraction of AI projects that failed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ai_investment_per_employee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 investment per employee (USD)</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regulatory_compliance_score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Regulatory compliance score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data_privacy_level</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Data privacy framework level</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ai_ethics_committee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Binary</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 1</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Whether an AI ethics committee exists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ai_risk_management_score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 risk management maturity score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remote_work_percentage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Percentage of workforce working remotely</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employee_satisfaction_score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Employee satisfaction index</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task_automation_rate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Percentage of tasks automated via AI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time_saved_per_week</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Hours saved per employee per week</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productivity_change_percent</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Any</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Percentage change in productivity</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jobs_displaced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Number of jobs displaced by AI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jobs_created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Number of new jobs created by AI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reskilled_employees</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 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Number of employees reskilled for AI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revenue_growth_percent</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Any</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Year-over-year revenue growth (%)</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cost_reduction_percent</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Cost reduction attributed to AI (%)</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innovation_score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Innovation index score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customer_satisfaction</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100]</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Customer satisfaction score</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survey_source</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Source channel of the survey</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data_collection_method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Categorical</w:t>
            </w:r>
          </w:p>
        </w:tc>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Multiple</w:t>
            </w:r>
          </w:p>
        </w:tc>
        <w:tc>
          <w:tcPr>
            <w:tcW w:type="dxa" w:w="4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Method used to collect data</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Note: ai_adoption_rate was DROPPED from the feature set prior to modelling due to direct information leakage with the target variable ai_adoption_stage. The target variable is ai_adoption_stage with four ordinal classes: none, pilot, partial, full.</w:t>
      </w:r>
    </w:p>
    <w:p>
      <w:r>
        <w:br w:type="page"/>
      </w:r>
    </w:p>
    <w:p>
      <w:pPr>
        <w:pStyle w:val="Heading1"/>
        <w:spacing w:after="120" w:before="240"/>
      </w:pPr>
      <w:r>
        <w:rPr>
          <w:rFonts w:ascii="Arial" w:cs="Arial" w:eastAsia="Arial" w:hAnsi="Arial"/>
          <w:b/>
          <w:bCs/>
          <w:color w:val="1F3864"/>
          <w:sz w:val="32"/>
          <w:szCs w:val="32"/>
        </w:rPr>
        <w:t xml:space="preserve">Section 2: Confusion Matrices (All 5 Models)</w:t>
      </w:r>
    </w:p>
    <w:p>
      <w:pPr>
        <w:spacing w:after="60" w:before="60"/>
      </w:pPr>
      <w:r>
        <w:rPr>
          <w:rFonts w:ascii="Arial" w:cs="Arial" w:eastAsia="Arial" w:hAnsi="Arial"/>
          <w:b w:val="false"/>
          <w:bCs w:val="false"/>
          <w:sz w:val="22"/>
          <w:szCs w:val="22"/>
        </w:rPr>
        <w:t xml:space="preserve">The following confusion matrices were computed on the held-out test set (20% stratified split). Each matrix shows Actual classes as rows and Predicted classes as columns.</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2.1 Decision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Actual \ Predicted</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none</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pilot</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partial</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full</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none</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1559</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pilot</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16601</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2630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64</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partial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2558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18438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2644</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full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24</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93</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389</w:t>
            </w:r>
          </w:p>
        </w:tc>
      </w:tr>
    </w:tbl>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2.2 Random Forest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Actual \ Predicted</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none</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pilot</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partial</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full</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none</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1559</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pilot</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16507</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2721</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67</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partial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2100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18937</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2603</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full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56</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435</w:t>
            </w:r>
          </w:p>
        </w:tc>
      </w:tr>
    </w:tbl>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2.3 XGBoost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Actual \ Predicted</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none</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pilot</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partial</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full</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none</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1559</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pilot</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17186</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2059</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partial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2398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19554</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1688</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full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47</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449</w:t>
            </w:r>
          </w:p>
        </w:tc>
      </w:tr>
    </w:tbl>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2.4 KNN (k = 7, weights = distance)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Actual \ Predicted</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none</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pilot</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partial</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full</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none</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1559</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pilot</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103</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15842</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3128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222</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partial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12</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3421</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17654</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2553</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full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72</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416</w:t>
            </w:r>
          </w:p>
        </w:tc>
      </w:tr>
    </w:tbl>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2.5 Gaussian Naive Bayes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Actual \ Predicted</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none</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pilot</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partial</w:t>
            </w:r>
          </w:p>
        </w:tc>
        <w:tc>
          <w:tcPr>
            <w:tcW w:type="dxa" w:w="14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full</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none</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1537</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22</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pilot</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856</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12480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5714</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245</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partial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24</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4210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16890</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2516</w:t>
            </w:r>
          </w:p>
        </w:tc>
      </w:tr>
      <w:t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left"/>
            </w:pPr>
            <w:r>
              <w:rPr>
                <w:rFonts w:ascii="Arial" w:cs="Arial" w:eastAsia="Arial" w:hAnsi="Arial"/>
                <w:b/>
                <w:bCs/>
                <w:sz w:val="20"/>
                <w:szCs w:val="20"/>
              </w:rPr>
              <w:t xml:space="preserve">full</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45</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98</w:t>
            </w:r>
          </w:p>
        </w:tc>
        <w:tc>
          <w:tcPr>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361</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Interpretation: XGBoost exhibits the strongest diagonal concentration across all four classes, confirming its superior discriminative power. The 'none' class is trivially separable (all models achieve perfect recall). The main challenge lies in distinguishing 'pilot' from 'partial', where XGBoost misclassifies the fewest observations. KNN and Naive Bayes show the most off-diagonal dispersion, consistent with their lower F1-macro scores.</w:t>
      </w:r>
    </w:p>
    <w:p>
      <w:r>
        <w:br w:type="page"/>
      </w:r>
    </w:p>
    <w:p>
      <w:pPr>
        <w:pStyle w:val="Heading1"/>
        <w:spacing w:after="120" w:before="240"/>
      </w:pPr>
      <w:r>
        <w:rPr>
          <w:rFonts w:ascii="Arial" w:cs="Arial" w:eastAsia="Arial" w:hAnsi="Arial"/>
          <w:b/>
          <w:bCs/>
          <w:color w:val="1F3864"/>
          <w:sz w:val="32"/>
          <w:szCs w:val="32"/>
        </w:rPr>
        <w:t xml:space="preserve">Section 3: Hyperparameter Search Grids (All 5 Models)</w:t>
      </w:r>
    </w:p>
    <w:p>
      <w:pPr>
        <w:spacing w:after="60" w:before="60"/>
      </w:pPr>
      <w:r>
        <w:rPr>
          <w:rFonts w:ascii="Arial" w:cs="Arial" w:eastAsia="Arial" w:hAnsi="Arial"/>
          <w:b w:val="false"/>
          <w:bCs w:val="false"/>
          <w:sz w:val="22"/>
          <w:szCs w:val="22"/>
        </w:rPr>
        <w:t xml:space="preserve">All hyperparameter searches used GridSearchCV with macro-averaged F1 as the scoring metric and stratified k-fold cross-validation on the training set.</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3.1 Decision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Hyperparameter</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Search Space</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Best Value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max_depth</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 5, 7, 9, 11]</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11</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min_samples_leaf</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 20, 50, 100]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w:t>
            </w:r>
          </w:p>
        </w:tc>
      </w:tr>
    </w:tbl>
    <w:p>
      <w:pPr>
        <w:spacing w:after="60" w:before="60"/>
      </w:pPr>
      <w:r>
        <w:rPr>
          <w:rFonts w:ascii="Arial" w:cs="Arial" w:eastAsia="Arial" w:hAnsi="Arial"/>
          <w:b w:val="false"/>
          <w:bCs w:val="false"/>
          <w:sz w:val="22"/>
          <w:szCs w:val="22"/>
        </w:rPr>
        <w:t xml:space="preserve">Candidates evaluated: 36 | Cross-validation folds: 5 | Best CV F1-macro: 0.749</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3.2 Random Forest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Hyperparameter</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Search Space</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Best Value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max_features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[sqrt, log2, 0.1]</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sqrt</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max_depth</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 5, 7, 9]</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9</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min_samples_leaf</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 20, 50]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n_estimators (OOB plateau)</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OOB convergence analysis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90</w:t>
            </w:r>
          </w:p>
        </w:tc>
      </w:tr>
    </w:tbl>
    <w:p>
      <w:pPr>
        <w:spacing w:after="60" w:before="60"/>
      </w:pPr>
      <w:r>
        <w:rPr>
          <w:rFonts w:ascii="Arial" w:cs="Arial" w:eastAsia="Arial" w:hAnsi="Arial"/>
          <w:b w:val="false"/>
          <w:bCs w:val="false"/>
          <w:sz w:val="22"/>
          <w:szCs w:val="22"/>
        </w:rPr>
        <w:t xml:space="preserve">Candidates evaluated: 36 | Cross-validation folds: 3 | Best CV F1-macro: 0.768</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3.3 XGBoost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Hyperparameter</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Search Space</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Best Value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max_depth</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 5, 7]</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5</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min_child_weight</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 20, 50]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50</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subsample</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 1.0]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n_estimators (fixed)</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300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300</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learning_rate (fixed)</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0.05</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0.05</w:t>
            </w:r>
          </w:p>
        </w:tc>
      </w:tr>
    </w:tbl>
    <w:p>
      <w:pPr>
        <w:spacing w:after="60" w:before="60"/>
      </w:pPr>
      <w:r>
        <w:rPr>
          <w:rFonts w:ascii="Arial" w:cs="Arial" w:eastAsia="Arial" w:hAnsi="Arial"/>
          <w:b w:val="false"/>
          <w:bCs w:val="false"/>
          <w:sz w:val="22"/>
          <w:szCs w:val="22"/>
        </w:rPr>
        <w:t xml:space="preserve">Candidates evaluated: 18 | Cross-validation folds: 3 | Best CV F1-macro: 0.901</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3.4 KNN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Hyperparameter</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Search Space</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Best Value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n_neighbors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 5, 7, 9, 11, 15, 21]</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7</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weights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distance (fixed)</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distance</w:t>
            </w:r>
          </w:p>
        </w:tc>
      </w:tr>
    </w:tbl>
    <w:p>
      <w:pPr>
        <w:spacing w:after="60" w:before="60"/>
      </w:pPr>
      <w:r>
        <w:rPr>
          <w:rFonts w:ascii="Arial" w:cs="Arial" w:eastAsia="Arial" w:hAnsi="Arial"/>
          <w:b w:val="false"/>
          <w:bCs w:val="false"/>
          <w:sz w:val="22"/>
          <w:szCs w:val="22"/>
        </w:rPr>
        <w:t xml:space="preserve">Candidates evaluated: 7 | Cross-validation folds: 3 | Best CV F1-macro: 0.718</w:t>
      </w:r>
    </w:p>
    <w:p>
      <w:pPr>
        <w:spacing w:after="60" w:before="60"/>
      </w:pPr>
      <w:r>
        <w:rPr>
          <w:rFonts w:ascii="Arial" w:cs="Arial" w:eastAsia="Arial" w:hAnsi="Arial"/>
          <w:b w:val="false"/>
          <w:bCs w:val="false"/>
          <w:sz w:val="22"/>
          <w:szCs w:val="22"/>
        </w:rPr>
        <w:t xml:space="preserve">Note: KNN does not support sample_weight; distance weighting was used instead to handle class imbalance.</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3.5 Gaussian Naive Bayes</w:t>
      </w:r>
    </w:p>
    <w:p>
      <w:pPr>
        <w:spacing w:after="60" w:before="60"/>
      </w:pPr>
      <w:r>
        <w:rPr>
          <w:rFonts w:ascii="Arial" w:cs="Arial" w:eastAsia="Arial" w:hAnsi="Arial"/>
          <w:b w:val="false"/>
          <w:bCs w:val="false"/>
          <w:sz w:val="22"/>
          <w:szCs w:val="22"/>
        </w:rPr>
        <w:t xml:space="preserve">GaussianNB has no tunable hyperparameters amenable to GridSearchCV. The CV F1-macro of 0.714 was obtained via a standalone 5-fold cross_val_score evaluation on the training set.</w:t>
      </w:r>
    </w:p>
    <w:p>
      <w:r>
        <w:br w:type="page"/>
      </w:r>
    </w:p>
    <w:p>
      <w:pPr>
        <w:pStyle w:val="Heading1"/>
        <w:spacing w:after="120" w:before="240"/>
      </w:pPr>
      <w:r>
        <w:rPr>
          <w:rFonts w:ascii="Arial" w:cs="Arial" w:eastAsia="Arial" w:hAnsi="Arial"/>
          <w:b/>
          <w:bCs/>
          <w:color w:val="1F3864"/>
          <w:sz w:val="32"/>
          <w:szCs w:val="32"/>
        </w:rPr>
        <w:t xml:space="preserve">Section 4: Permutation Importance (Top 20 Features)</w:t>
      </w:r>
    </w:p>
    <w:p>
      <w:pPr>
        <w:spacing w:after="60" w:before="60"/>
      </w:pPr>
      <w:r>
        <w:rPr>
          <w:rFonts w:ascii="Arial" w:cs="Arial" w:eastAsia="Arial" w:hAnsi="Arial"/>
          <w:b w:val="false"/>
          <w:bCs w:val="false"/>
          <w:sz w:val="22"/>
          <w:szCs w:val="22"/>
        </w:rPr>
        <w:t xml:space="preserve">Permutation importance was computed on the test set using the best XGBoost model with 10 repetitions. The metric measures the decrease in F1-macro when each feature is randomly shuffled.</w:t>
      </w:r>
    </w:p>
    <w:p>
      <w:pPr>
        <w:spacing w:after="60" w:before="60"/>
      </w:pPr>
      <w:r>
        <w:rPr>
          <w:rFonts w:ascii="Arial" w:cs="Arial" w:eastAsia="Arial" w:hAnsi="Arial"/>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Rank</w:t>
            </w:r>
          </w:p>
        </w:tc>
        <w:tc>
          <w:tcPr>
            <w:tcW w:type="dxa" w:w="35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Feature</w:t>
            </w:r>
          </w:p>
        </w:tc>
        <w:tc>
          <w:tcPr>
            <w:tcW w:type="dxa" w:w="20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Importance (Mean)</w:t>
            </w:r>
          </w:p>
        </w:tc>
        <w:tc>
          <w:tcPr>
            <w:tcW w:type="dxa" w:w="20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Importance (Std)</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ai_maturity_score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0.142</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0.003</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years_using_ai</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0.089</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0.002</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ai_budget_percentage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0.074</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0.002</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ai_training_hours</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0.061</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0.002</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ai_failure_rate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0.048</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num_ai_tools_used</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0.041</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ai_projects_active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0.038</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ai_investment_per_employee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0.035</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ai_risk_management_score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0.031</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innovation_score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0.028</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regulatory_compliance_score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0.024</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employee_satisfaction_score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0.021</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13</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task_automation_rate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0.019</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14</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productivity_change_percent</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0.016</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15</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revenue_growth_percent</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0.014</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16</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company_age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0.012</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17</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num_employees</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0.010</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18</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remote_work_percentage</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0.008</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19</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customer_satisfaction</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0.007</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r>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20</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cost_reduction_percent</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0.006</w:t>
            </w:r>
          </w:p>
        </w:tc>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0.001</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The top three features — ai_maturity_score, years_using_ai, and ai_budget_percentage — collectively account for over 30% of the total permutation importance, confirming that AI-specific organisational variables are the strongest predictors of adoption stage.</w:t>
      </w:r>
    </w:p>
    <w:p>
      <w:r>
        <w:br w:type="page"/>
      </w:r>
    </w:p>
    <w:p>
      <w:pPr>
        <w:pStyle w:val="Heading1"/>
        <w:spacing w:after="120" w:before="240"/>
      </w:pPr>
      <w:r>
        <w:rPr>
          <w:rFonts w:ascii="Arial" w:cs="Arial" w:eastAsia="Arial" w:hAnsi="Arial"/>
          <w:b/>
          <w:bCs/>
          <w:color w:val="1F3864"/>
          <w:sz w:val="32"/>
          <w:szCs w:val="32"/>
        </w:rPr>
        <w:t xml:space="preserve">Section 5: PCA Dimensionality Reduction Analysis</w:t>
      </w:r>
    </w:p>
    <w:p>
      <w:pPr>
        <w:spacing w:after="60" w:before="60"/>
      </w:pPr>
      <w:r>
        <w:rPr>
          <w:rFonts w:ascii="Arial" w:cs="Arial" w:eastAsia="Arial" w:hAnsi="Arial"/>
          <w:b w:val="false"/>
          <w:bCs w:val="false"/>
          <w:sz w:val="22"/>
          <w:szCs w:val="22"/>
        </w:rPr>
        <w:t xml:space="preserve">Principal Component Analysis (PCA) was fitted on the 26 numeric features after standard scaling.</w:t>
      </w:r>
    </w:p>
    <w:p>
      <w:pPr>
        <w:spacing w:after="60" w:before="60"/>
      </w:pPr>
      <w:r>
        <w:rPr>
          <w:rFonts w:ascii="Arial" w:cs="Arial" w:eastAsia="Arial" w:hAnsi="Arial"/>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Components</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Cumulative Variance Explained</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Random Forest F1-macro</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~72%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~92%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~0.71</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26 (original features)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0.768</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A Random Forest trained on PCA-reduced data (20 components) achieved an F1-macro of approximately 0.71, compared to 0.768 on the original feature space. PCA discards discriminative signal encoded in individual features; tree-based models handle high dimensionality natively via feature selection at each split, making PCA unnecessary for this pipeline.</w:t>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PCA was included to demonstrate curriculum coverage and to empirically confirm that dimensionality reduction does not improve performance for tree-based ensembles on this dataset.</w:t>
      </w:r>
    </w:p>
    <w:p>
      <w:r>
        <w:br w:type="page"/>
      </w:r>
    </w:p>
    <w:p>
      <w:pPr>
        <w:pStyle w:val="Heading1"/>
        <w:spacing w:after="120" w:before="240"/>
      </w:pPr>
      <w:r>
        <w:rPr>
          <w:rFonts w:ascii="Arial" w:cs="Arial" w:eastAsia="Arial" w:hAnsi="Arial"/>
          <w:b/>
          <w:bCs/>
          <w:color w:val="1F3864"/>
          <w:sz w:val="32"/>
          <w:szCs w:val="32"/>
        </w:rPr>
        <w:t xml:space="preserve">Section 6: Feature Engineering (Exploratory)</w:t>
      </w:r>
    </w:p>
    <w:p>
      <w:pPr>
        <w:spacing w:after="60" w:before="60"/>
      </w:pPr>
      <w:r>
        <w:rPr>
          <w:rFonts w:ascii="Arial" w:cs="Arial" w:eastAsia="Arial" w:hAnsi="Arial"/>
          <w:b w:val="false"/>
          <w:bCs w:val="false"/>
          <w:sz w:val="22"/>
          <w:szCs w:val="22"/>
        </w:rPr>
        <w:t xml:space="preserve">Six engineered features were created for exploratory analysis:</w:t>
      </w:r>
    </w:p>
    <w:p>
      <w:pPr>
        <w:spacing w:after="60" w:before="60"/>
      </w:pPr>
      <w:r>
        <w:rPr>
          <w:rFonts w:ascii="Arial" w:cs="Arial" w:eastAsia="Arial" w:hAnsi="Arial"/>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w:t>
            </w:r>
          </w:p>
        </w:tc>
        <w:tc>
          <w:tcPr>
            <w:tcW w:type="dxa" w:w="25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Feature Name</w:t>
            </w:r>
          </w:p>
        </w:tc>
        <w:tc>
          <w:tcPr>
            <w:tcW w:type="dxa" w:w="35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Formula</w:t>
            </w:r>
          </w:p>
        </w:tc>
        <w:tc>
          <w:tcPr>
            <w:tcW w:type="dxa" w:w="3500"/>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Rationale</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ai_intensity</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ai_projects_active * ai_training_hours</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Interaction term capturing combined project and training load</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maturity_trajectory</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ai_maturity_score / (years_using_ai + 1)</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Adoption velocity — maturity normalised by experience</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job_transition_ratio</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jobs_created / (jobs_displaced + 1)</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Net workforce impact of AI adoption</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adoption_breadth_depth</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num_ai_tools_used * ai_budget_percentage</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Investment breadth — tools multiplied by budget share</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risk_adj_maturity</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ai_maturity_score * (1 - ai_failure_rate)</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Risk-adjusted capability score</w:t>
            </w:r>
          </w:p>
        </w:tc>
      </w:tr>
      <w:tr>
        <w:tc>
          <w:tcPr>
            <w:tcW w:type="dxa" w:w="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productivity_roi</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productivity_change_percent / (ai_budget_percentage + 1)</w:t>
            </w:r>
          </w:p>
        </w:tc>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ROI proxy — productivity gain per unit budget</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Note: These features were created after the feature_cols list was defined in the notebook pipeline. They are included in the dataset for exploratory analysis but were NOT used in the final modelling pipeline. All five models were trained on the original 26 numeric + 10 categorical features (101 after one-hot encoding). This decision was deliberate to maintain a clean baseline.</w:t>
      </w:r>
    </w:p>
    <w:p>
      <w:r>
        <w:br w:type="page"/>
      </w:r>
    </w:p>
    <w:p>
      <w:pPr>
        <w:pStyle w:val="Heading1"/>
        <w:spacing w:after="120" w:before="240"/>
      </w:pPr>
      <w:r>
        <w:rPr>
          <w:rFonts w:ascii="Arial" w:cs="Arial" w:eastAsia="Arial" w:hAnsi="Arial"/>
          <w:b/>
          <w:bCs/>
          <w:color w:val="1F3864"/>
          <w:sz w:val="32"/>
          <w:szCs w:val="32"/>
        </w:rPr>
        <w:t xml:space="preserve">Section 7: Quantitative Finance Methodology</w:t>
      </w:r>
    </w:p>
    <w:p>
      <w:pPr>
        <w:spacing w:after="60" w:before="60"/>
      </w:pPr>
      <w:r>
        <w:rPr>
          <w:rFonts w:ascii="Arial" w:cs="Arial" w:eastAsia="Arial" w:hAnsi="Arial"/>
          <w:b w:val="false"/>
          <w:bCs w:val="false"/>
          <w:sz w:val="22"/>
          <w:szCs w:val="22"/>
        </w:rPr>
        <w:t xml:space="preserve">Seven quantitative finance frameworks were applied to extend the machine learning analysis into financial decision-making contexts.</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7.1 Markov Transition Matrix</w:t>
      </w:r>
    </w:p>
    <w:p>
      <w:pPr>
        <w:spacing w:after="60" w:before="60"/>
      </w:pPr>
      <w:r>
        <w:rPr>
          <w:rFonts w:ascii="Arial" w:cs="Arial" w:eastAsia="Arial" w:hAnsi="Arial"/>
          <w:b w:val="false"/>
          <w:bCs w:val="false"/>
          <w:sz w:val="22"/>
          <w:szCs w:val="22"/>
        </w:rPr>
        <w:t xml:space="preserve">A credit-migration-style analysis using the Jarrow-Lando-Turnbull (1997) framework. An empirical transition matrix P was estimated from the panel data by computing the fraction of companies that moved between adoption stages across consecutive survey waves. A generator matrix Q was derived via matrix logarithm with the Israel-Rosenthal-Wei correction to ensure valid transition rates. Expected absorption times E[T] = -Q_sub^(-1) * 1 quantify the expected number of quarters until a company reaches the 'full' adoption stage from each starting state.</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7.2 Cost-Sensitive Loss &amp; Expected Monetary Value</w:t>
      </w:r>
    </w:p>
    <w:p>
      <w:pPr>
        <w:spacing w:after="60" w:before="60"/>
      </w:pPr>
      <w:r>
        <w:rPr>
          <w:rFonts w:ascii="Arial" w:cs="Arial" w:eastAsia="Arial" w:hAnsi="Arial"/>
          <w:b w:val="false"/>
          <w:bCs w:val="false"/>
          <w:sz w:val="22"/>
          <w:szCs w:val="22"/>
        </w:rPr>
        <w:t xml:space="preserve">An asymmetric 4x4 cost matrix was constructed with ordinal-distance scaling. Misclassification costs reflect business impact: predicting 'none' when the true stage is 'full' costs $100K (missed investment opportunity), while predicting 'full' when the true stage is 'none' costs $80K (wasted deployment). Adjacent-class errors carry proportionally lower penalties. The Expected Misclassification Cost is EMC = sum(C_ij * CM_ij). XGBoost was retrained with cost-derived sample weights to minimise EMC.</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7.3 Model Calibration</w:t>
      </w:r>
    </w:p>
    <w:p>
      <w:pPr>
        <w:spacing w:after="60" w:before="60"/>
      </w:pPr>
      <w:r>
        <w:rPr>
          <w:rFonts w:ascii="Arial" w:cs="Arial" w:eastAsia="Arial" w:hAnsi="Arial"/>
          <w:b w:val="false"/>
          <w:bCs w:val="false"/>
          <w:sz w:val="22"/>
          <w:szCs w:val="22"/>
        </w:rPr>
        <w:t xml:space="preserve">Multiclass Brier score BS = (1/N) * sum_i sum_k (p_ik - y_ik)^2 was computed for all models. Platt scaling and isotonic regression were applied via CalibratedClassifierCV(cv='prefit'). Reliability diagrams were generated per class to visualise calibration quality. References: Platt (1999), Niculescu-Mizil &amp; Caruana (2005).</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7.4 Portfolio Construction</w:t>
      </w:r>
    </w:p>
    <w:p>
      <w:pPr>
        <w:spacing w:after="60" w:before="60"/>
      </w:pPr>
      <w:r>
        <w:rPr>
          <w:rFonts w:ascii="Arial" w:cs="Arial" w:eastAsia="Arial" w:hAnsi="Arial"/>
          <w:b w:val="false"/>
          <w:bCs w:val="false"/>
          <w:sz w:val="22"/>
          <w:szCs w:val="22"/>
        </w:rPr>
        <w:t xml:space="preserve">Markowitz (1952) mean-variance optimisation was applied to construct an optimal allocation across AI adoption stages. Expected return mu_i = p_i^T * r where r = [-0.05, 0.02, 0.08, 0.20] represents stage-specific expected returns. An efficient frontier was computed via scipy.optimize.minimize. The Kelly criterion f* = p - (1-p)/b was used for position sizing.</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7.5 Risk Metrics</w:t>
      </w:r>
    </w:p>
    <w:p>
      <w:pPr>
        <w:spacing w:after="60" w:before="60"/>
      </w:pPr>
      <w:r>
        <w:rPr>
          <w:rFonts w:ascii="Arial" w:cs="Arial" w:eastAsia="Arial" w:hAnsi="Arial"/>
          <w:b w:val="false"/>
          <w:bCs w:val="false"/>
          <w:sz w:val="22"/>
          <w:szCs w:val="22"/>
        </w:rPr>
        <w:t xml:space="preserve">Value-at-Risk (VaR) at the 5% level and Conditional VaR (CVaR) at the 5% level were estimated from 1,000-iteration bootstrap resampling of the test-set F1 distribution. Split-conformal prediction with a 90% coverage guarantee was implemented for uncertainty quantification. References: Artzner et al. (1999), Vovk et al. (2005).</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7.6 Survival Analysis</w:t>
      </w:r>
    </w:p>
    <w:p>
      <w:pPr>
        <w:spacing w:after="60" w:before="60"/>
      </w:pPr>
      <w:r>
        <w:rPr>
          <w:rFonts w:ascii="Arial" w:cs="Arial" w:eastAsia="Arial" w:hAnsi="Arial"/>
          <w:b w:val="false"/>
          <w:bCs w:val="false"/>
          <w:sz w:val="22"/>
          <w:szCs w:val="22"/>
        </w:rPr>
        <w:t xml:space="preserve">A Cox Proportional Hazards model h(t|X) = h0(t) * exp(X * beta) was fitted to estimate hazard rates for reaching full AI adoption. Kaplan-Meier survival curves were stratified by industry. Duration was defined as the number of quarters until full adoption, with the event indicator set to 1 for companies that reached full adoption. References: Cox (1972), Kaplan &amp; Meier (1958).</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7.7 Bayesian Model Averaging</w:t>
      </w:r>
    </w:p>
    <w:p>
      <w:pPr>
        <w:spacing w:after="60" w:before="60"/>
      </w:pPr>
      <w:r>
        <w:rPr>
          <w:rFonts w:ascii="Arial" w:cs="Arial" w:eastAsia="Arial" w:hAnsi="Arial"/>
          <w:b w:val="false"/>
          <w:bCs w:val="false"/>
          <w:sz w:val="22"/>
          <w:szCs w:val="22"/>
        </w:rPr>
        <w:t xml:space="preserve">BIC-based posterior weights w_k = exp(-BIC_k/2) / sum were computed for all five models. BMA predictions are the weighted average of aligned probability matrices from all five classifiers (Decision Tree, Random Forest, XGBoost, KNN, Naive Bayes). This approach reduces model risk by diversifying across model structures. Reference: Hoeting et al. (1999).</w:t>
      </w:r>
    </w:p>
    <w:p>
      <w:r>
        <w:br w:type="page"/>
      </w:r>
    </w:p>
    <w:p>
      <w:pPr>
        <w:pStyle w:val="Heading1"/>
        <w:spacing w:after="120" w:before="240"/>
      </w:pPr>
      <w:r>
        <w:rPr>
          <w:rFonts w:ascii="Arial" w:cs="Arial" w:eastAsia="Arial" w:hAnsi="Arial"/>
          <w:b/>
          <w:bCs/>
          <w:color w:val="1F3864"/>
          <w:sz w:val="32"/>
          <w:szCs w:val="32"/>
        </w:rPr>
        <w:t xml:space="preserve">Section 8: Streamlit App Architecture</w:t>
      </w:r>
    </w:p>
    <w:p>
      <w:pPr>
        <w:spacing w:after="60" w:before="60"/>
      </w:pPr>
      <w:r>
        <w:rPr>
          <w:rFonts w:ascii="Arial" w:cs="Arial" w:eastAsia="Arial" w:hAnsi="Arial"/>
          <w:b w:val="false"/>
          <w:bCs w:val="false"/>
          <w:sz w:val="22"/>
          <w:szCs w:val="22"/>
        </w:rPr>
        <w:t xml:space="preserve">The interactive Streamlit application provides a comprehensive interface for exploring the analysis and generating real-time predictions.</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8.1 Tab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Tab</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Description</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Overview</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Project summary, dataset statistics, and methodology overview</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EDA</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Exploratory data analysis with interactive Plotly charts</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Models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Model performance comparison, confusion matrices, and feature importance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Live Predictor</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Real-time XGBoost prediction with SHAP waterfall explanation</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Findings &amp; Recommendations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Key findings and business recommendations</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PE/VC Operational Alpha</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Private equity and venture capital investment frameworks</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Quantitative Finance Analytics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All seven quantitative finance frameworks</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Executive Summary</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One-page executive summary for stakeholders</w:t>
            </w:r>
          </w:p>
        </w:tc>
      </w:tr>
    </w:tbl>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8.2 Technical Stack</w:t>
      </w:r>
    </w:p>
    <w:p>
      <w:pPr>
        <w:spacing w:after="60" w:before="60"/>
      </w:pPr>
      <w:r>
        <w:rPr>
          <w:rFonts w:ascii="Arial" w:cs="Arial" w:eastAsia="Arial" w:hAnsi="Arial"/>
          <w:b w:val="false"/>
          <w:bCs w:val="false"/>
          <w:sz w:val="22"/>
          <w:szCs w:val="22"/>
        </w:rPr>
        <w:t xml:space="preserve">Inference engine: Real-time XGBoost prediction with SHAP waterfall explanations. Visualisation: Plotly with a custom dark glassmorphism theme. Premium CSS: Inter font family, animated gradient backgrounds, floating particles, per-tab colour atmospheres, and glassmorphism card components. Codebase: approximately 4,500 lines of Python (app.py).</w:t>
      </w:r>
    </w:p>
    <w:p>
      <w:pPr>
        <w:spacing w:after="60" w:before="60"/>
      </w:pPr>
      <w:r>
        <w:rPr>
          <w:rFonts w:ascii="Arial" w:cs="Arial" w:eastAsia="Arial" w:hAnsi="Arial"/>
          <w:b w:val="false"/>
          <w:bCs w:val="false"/>
          <w:sz w:val="22"/>
          <w:szCs w:val="22"/>
        </w:rPr>
        <w:t xml:space="preserve"/>
      </w:r>
    </w:p>
    <w:p>
      <w:pPr>
        <w:pStyle w:val="Heading3"/>
        <w:spacing w:after="120" w:before="240"/>
      </w:pPr>
      <w:r>
        <w:rPr>
          <w:rFonts w:ascii="Arial" w:cs="Arial" w:eastAsia="Arial" w:hAnsi="Arial"/>
          <w:b/>
          <w:bCs/>
          <w:color w:val="1F3864"/>
          <w:sz w:val="24"/>
          <w:szCs w:val="24"/>
        </w:rPr>
        <w:t xml:space="preserve">8.3 Model Artifacts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Artifact</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Description</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dt_model.pkl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Trained Decision Tree classifier</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rf_model.pkl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Trained Random Forest classifier</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xgb_model.pkl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Trained XGBoost classifier (production model)</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label_encoder.pkl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Label encoder for target variable</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feature_columns.pkl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Ordered list of feature column names</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preprocessor.pkl</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Fitted ColumnTransformer (scaler + one-hot encoder)</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df_perm.csv</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Permutation importance results</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GitHub repository: https://github.com/MarianGarabana/MachineLearningII_GroupAssignment</w:t>
      </w:r>
    </w:p>
    <w:p>
      <w:r>
        <w:br w:type="page"/>
      </w:r>
    </w:p>
    <w:p>
      <w:pPr>
        <w:pStyle w:val="Heading1"/>
        <w:spacing w:after="120" w:before="240"/>
      </w:pPr>
      <w:r>
        <w:rPr>
          <w:rFonts w:ascii="Arial" w:cs="Arial" w:eastAsia="Arial" w:hAnsi="Arial"/>
          <w:b/>
          <w:bCs/>
          <w:color w:val="1F3864"/>
          <w:sz w:val="32"/>
          <w:szCs w:val="32"/>
        </w:rPr>
        <w:t xml:space="preserve">Section 9: Model Comparison Summary</w:t>
      </w:r>
    </w:p>
    <w:p>
      <w:pPr>
        <w:spacing w:after="60" w:before="60"/>
      </w:pPr>
      <w:r>
        <w:rPr>
          <w:rFonts w:ascii="Arial" w:cs="Arial" w:eastAsia="Arial" w:hAnsi="Arial"/>
          <w:b w:val="false"/>
          <w:bCs w:val="false"/>
          <w:sz w:val="22"/>
          <w:szCs w:val="22"/>
        </w:rPr>
        <w:t xml:space="preserve">The table below summarises the final performance of all five models on the held-out test set.</w:t>
      </w:r>
    </w:p>
    <w:p>
      <w:pPr>
        <w:spacing w:after="60" w:before="60"/>
      </w:pPr>
      <w:r>
        <w:rPr>
          <w:rFonts w:ascii="Arial" w:cs="Arial" w:eastAsia="Arial" w:hAnsi="Arial"/>
          <w:b w:val="false"/>
          <w:bCs w:val="false"/>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Model</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CV F1-macro</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Test F1-macro</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Test Accuracy</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Recall-macro</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Precision-macro</w:t>
            </w:r>
          </w:p>
        </w:tc>
        <w:tc>
          <w:tcPr>
            <w:tcBorders>
              <w:top w:val="single" w:color="CCCCCC" w:sz="1"/>
              <w:left w:val="single" w:color="CCCCCC" w:sz="1"/>
              <w:bottom w:val="single" w:color="CCCCCC" w:sz="1"/>
              <w:right w:val="single" w:color="CCCCCC" w:sz="1"/>
            </w:tcBorders>
            <w:shd w:fill="D5E8F0" w:color="D5E8F0" w:val="solid"/>
            <w:vAlign w:val="center"/>
          </w:tcPr>
          <w:p>
            <w:pPr>
              <w:spacing w:after="40" w:before="40"/>
              <w:jc w:val="center"/>
            </w:pPr>
            <w:r>
              <w:rPr>
                <w:rFonts w:ascii="Arial" w:cs="Arial" w:eastAsia="Arial" w:hAnsi="Arial"/>
                <w:b/>
                <w:bCs/>
                <w:sz w:val="20"/>
                <w:szCs w:val="20"/>
              </w:rPr>
              <w:t xml:space="preserve">Overfitting Gap</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Decision Tree</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0.749</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0.742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0.822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0.852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0.720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~25 pp</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Random Forest</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0.768</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0.763</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0.833</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0.880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0.735</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Small</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XGBoost</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0.901</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0.783</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0.862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0.903</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0.754</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1.61%</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KNN</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0.718</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0.722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0.840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0.692</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0.839</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~5 pp</w:t>
            </w:r>
          </w:p>
        </w:tc>
      </w:tr>
      <w:tr>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Naive Bayes</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0.714†</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0.707</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0.770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0.840</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0.694</w:t>
            </w:r>
          </w:p>
        </w:tc>
        <w:tc>
          <w:tcPr>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~0 pp</w:t>
            </w:r>
          </w:p>
        </w:tc>
      </w:tr>
    </w:tbl>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 Naive Bayes CV F1 was obtained from a standalone 5-fold cross_val_score evaluation (no GridSearchCV).</w:t>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Interpretation: XGBoost was selected as the production model based on the highest test F1-macro (0.783) and test accuracy (0.862), with a controlled overfitting gap of 1.61%. KNN underperforms relative to tree-based models due to the curse of dimensionality in the 101-dimensional one-hot-encoded feature space. Naive Bayes underperforms due to the violated feature independence assumption, confirmed by Variance Inflation Factor (VIF) analysis showing significant multicollinearity among AI-related features.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Group 3 | IE University | MBDS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Technical Annex — ML2 Group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Arial" w:cs="Arial" w:eastAsia="Arial" w:hAnsi="Arial"/>
      <w:b/>
      <w:bCs/>
      <w:color w:val="1F3864"/>
      <w:sz w:val="32"/>
      <w:szCs w:val="32"/>
    </w:rPr>
  </w:style>
  <w:style w:type="paragraph" w:styleId="Heading2">
    <w:name w:val="Heading 2"/>
    <w:basedOn w:val="Normal"/>
    <w:next w:val="Normal"/>
    <w:pPr>
      <w:spacing w:after="120" w:before="240"/>
    </w:pPr>
    <w:rPr>
      <w:rFonts w:ascii="Arial" w:cs="Arial" w:eastAsia="Arial" w:hAnsi="Arial"/>
      <w:b/>
      <w:bCs/>
      <w:color w:val="1F3864"/>
      <w:sz w:val="28"/>
      <w:szCs w:val="28"/>
    </w:rPr>
  </w:style>
  <w:style w:type="paragraph" w:styleId="Heading3">
    <w:name w:val="Heading 3"/>
    <w:basedOn w:val="Normal"/>
    <w:next w:val="Normal"/>
    <w:pPr>
      <w:spacing w:after="100" w:before="20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2026-03-24T21:01:36.812Z</dcterms:created>
  <dcterms:modified xsi:type="dcterms:W3CDTF">2026-03-24T21:01:36.812Z</dcterms:modified>
</cp:coreProperties>
</file>

<file path=docProps/custom.xml><?xml version="1.0" encoding="utf-8"?>
<Properties xmlns="http://schemas.openxmlformats.org/officeDocument/2006/custom-properties" xmlns:vt="http://schemas.openxmlformats.org/officeDocument/2006/docPropsVTypes"/>
</file>