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line="276"/>
        <w:jc w:val="left"/>
      </w:pPr>
      <w:r>
        <w:rPr>
          <w:rFonts w:ascii="Arial" w:cs="Arial" w:eastAsia="Arial" w:hAnsi="Arial"/>
          <w:color w:val="000000"/>
          <w:sz w:val="20"/>
          <w:szCs w:val="20"/>
        </w:rPr>
        <w:t xml:space="preserve"/>
      </w:r>
    </w:p>
    <w:p>
      <w:pPr>
        <w:pBdr>
          <w:bottom w:val="single" w:color="1B2A4A" w:sz="6" w:space="8"/>
        </w:pBdr>
        <w:spacing w:after="0"/>
      </w:pPr>
    </w:p>
    <w:p>
      <w:pPr>
        <w:spacing w:after="80" w:before="0" w:line="276"/>
        <w:jc w:val="left"/>
      </w:pPr>
      <w:r>
        <w:rPr>
          <w:rFonts w:ascii="Arial" w:cs="Arial" w:eastAsia="Arial" w:hAnsi="Arial"/>
          <w:color w:val="000000"/>
          <w:sz w:val="20"/>
          <w:szCs w:val="20"/>
        </w:rPr>
        <w:t xml:space="preserve"/>
      </w:r>
    </w:p>
    <w:p>
      <w:pPr>
        <w:spacing w:after="40" w:before="0" w:line="276"/>
        <w:jc w:val="left"/>
      </w:pPr>
      <w:r>
        <w:rPr>
          <w:rFonts w:ascii="Arial" w:cs="Arial" w:eastAsia="Arial" w:hAnsi="Arial"/>
          <w:b/>
          <w:bCs/>
          <w:color w:val="1B2A4A"/>
          <w:sz w:val="44"/>
          <w:szCs w:val="44"/>
        </w:rPr>
        <w:t xml:space="preserve">AI Adoption Stage Classifier</w:t>
      </w:r>
    </w:p>
    <w:p>
      <w:pPr>
        <w:spacing w:after="200" w:before="0" w:line="276"/>
        <w:jc w:val="left"/>
      </w:pPr>
      <w:r>
        <w:rPr>
          <w:rFonts w:ascii="Arial" w:cs="Arial" w:eastAsia="Arial" w:hAnsi="Arial"/>
          <w:color w:val="2E5090"/>
          <w:sz w:val="32"/>
          <w:szCs w:val="32"/>
        </w:rPr>
        <w:t xml:space="preserve">Technical Summary Report</w:t>
      </w:r>
    </w:p>
    <w:p>
      <w:pPr>
        <w:spacing w:after="80" w:before="0" w:line="276"/>
        <w:jc w:val="left"/>
      </w:pPr>
      <w:r>
        <w:rPr>
          <w:rFonts w:ascii="Arial" w:cs="Arial" w:eastAsia="Arial" w:hAnsi="Arial"/>
          <w:color w:val="555555"/>
          <w:sz w:val="22"/>
          <w:szCs w:val="22"/>
        </w:rPr>
        <w:t xml:space="preserve">Group 3  ·  MBDS 2026  ·  Machine Learning II  ·  IE University</w:t>
      </w:r>
    </w:p>
    <w:p>
      <w:pPr>
        <w:spacing w:after="40" w:before="0" w:line="276"/>
        <w:jc w:val="left"/>
      </w:pPr>
      <w:r>
        <w:rPr>
          <w:rFonts w:ascii="Arial" w:cs="Arial" w:eastAsia="Arial" w:hAnsi="Arial"/>
          <w:i/>
          <w:iCs/>
          <w:color w:val="555555"/>
          <w:sz w:val="20"/>
          <w:szCs w:val="20"/>
        </w:rPr>
        <w:t xml:space="preserve">March 2026</w:t>
      </w:r>
    </w:p>
    <w:p>
      <w:pPr>
        <w:pBdr>
          <w:bottom w:val="single" w:color="1B2A4A" w:sz="6" w:space="8"/>
        </w:pBdr>
        <w:spacing w:after="200" w:before="80"/>
      </w:pPr>
    </w:p>
    <w:p>
      <w:pPr>
        <w:pStyle w:val="Heading1"/>
        <w:spacing w:after="120" w:before="240"/>
      </w:pPr>
      <w:r>
        <w:rPr>
          <w:rFonts w:ascii="Arial" w:cs="Arial" w:eastAsia="Arial" w:hAnsi="Arial"/>
          <w:b/>
          <w:bCs/>
          <w:color w:val="1B2A4A"/>
          <w:sz w:val="28"/>
          <w:szCs w:val="28"/>
        </w:rPr>
        <w:t xml:space="preserve">Executive Summary</w:t>
      </w:r>
    </w:p>
    <w:p>
      <w:pPr>
        <w:spacing w:after="120" w:before="0" w:line="276"/>
        <w:jc w:val="left"/>
      </w:pPr>
      <w:r>
        <w:rPr>
          <w:rFonts w:ascii="Arial" w:cs="Arial" w:eastAsia="Arial" w:hAnsi="Arial"/>
          <w:color w:val="000000"/>
          <w:sz w:val="20"/>
          <w:szCs w:val="20"/>
        </w:rPr>
        <w:t xml:space="preserve">This report presents a multi-class classification system to predict a company's AI adoption stage (none, pilot, partial, full) from operational and financial metrics. The dataset contains 150,000 quarterly observations across 43 variables spanning company characteristics, AI investment metrics, workforce impact, and financial outcomes.</w:t>
      </w:r>
    </w:p>
    <w:p>
      <w:pPr>
        <w:spacing w:after="120" w:before="0" w:line="276"/>
        <w:jc w:val="left"/>
      </w:pPr>
      <w:r>
        <w:rPr>
          <w:rFonts w:ascii="Arial" w:cs="Arial" w:eastAsia="Arial" w:hAnsi="Arial"/>
          <w:color w:val="000000"/>
          <w:sz w:val="20"/>
          <w:szCs w:val="20"/>
        </w:rPr>
        <w:t xml:space="preserve">After detecting and removing a leaking feature (ai_adoption_rate — a direct encoding of the target), 36 features were retained and processed into 101 inputs after one-hot encoding. Three models were trained in deliberate progression: Decision Tree (interpretable baseline), Random Forest (variance reduction via bagging), and XGBoost (sequential boosting with regularisation).</w:t>
      </w:r>
    </w:p>
    <w:p>
      <w:pPr>
        <w:spacing w:after="120" w:before="0" w:line="276"/>
        <w:jc w:val="left"/>
      </w:pPr>
      <w:r>
        <w:rPr>
          <w:rFonts w:ascii="Arial" w:cs="Arial" w:eastAsia="Arial" w:hAnsi="Arial"/>
          <w:color w:val="000000"/>
          <w:sz w:val="20"/>
          <w:szCs w:val="20"/>
        </w:rPr>
        <w:t xml:space="preserve">XGBoost is the recommended production model with F1-macro of 0.783, the tightest overfitting gap (1.61%), and 89% recall on the rarest class. The model is deployed as a live Streamlit app with real-time inference, SHAP explanations, and a quantitative finance analytics suite spanning Markov transition matrices, Markowitz portfolio construction, VaR/CVaR risk metrics, and survival analysis.</w:t>
      </w:r>
    </w:p>
    <w:p>
      <w:pPr>
        <w:pStyle w:val="Heading1"/>
        <w:pageBreakBefore/>
        <w:spacing w:after="120" w:before="240"/>
      </w:pPr>
      <w:r>
        <w:rPr>
          <w:rFonts w:ascii="Arial" w:cs="Arial" w:eastAsia="Arial" w:hAnsi="Arial"/>
          <w:b/>
          <w:bCs/>
          <w:color w:val="1B2A4A"/>
          <w:sz w:val="28"/>
          <w:szCs w:val="28"/>
        </w:rPr>
        <w:t xml:space="preserve">Dataset and Preprocessing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Parameter</w:t>
            </w:r>
          </w:p>
        </w:tc>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Value</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Total records</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150,000</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Original features</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43</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After leakage removal</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36</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After one-hot encoding</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101</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Train / Test split</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70 / 30 stratified</w:t>
            </w:r>
          </w:p>
        </w:tc>
      </w:tr>
    </w:tbl>
    <w:p>
      <w:pPr>
        <w:spacing w:after="40" w:before="0" w:line="276"/>
        <w:jc w:val="left"/>
      </w:pPr>
      <w:r>
        <w:rPr>
          <w:rFonts w:ascii="Arial" w:cs="Arial" w:eastAsia="Arial" w:hAnsi="Arial"/>
          <w:color w:val="000000"/>
          <w:sz w:val="20"/>
          <w:szCs w:val="20"/>
        </w:rPr>
        <w:t xml:space="preserve"/>
      </w:r>
    </w:p>
    <w:p>
      <w:pPr>
        <w:pStyle w:val="ListParagraph"/>
        <w:numPr>
          <w:ilvl w:val="0"/>
          <w:numId w:val="1"/>
        </w:numPr>
        <w:spacing w:after="80" w:before="40" w:line="264"/>
      </w:pPr>
      <w:r>
        <w:rPr>
          <w:rFonts w:ascii="Arial" w:cs="Arial" w:eastAsia="Arial" w:hAnsi="Arial"/>
          <w:color w:val="000000"/>
          <w:sz w:val="20"/>
          <w:szCs w:val="20"/>
        </w:rPr>
        <w:t xml:space="preserve">Stratified split applied before any preprocessing to prevent data leakage between train and test sets.</w:t>
      </w:r>
    </w:p>
    <w:p>
      <w:pPr>
        <w:pStyle w:val="ListParagraph"/>
        <w:numPr>
          <w:ilvl w:val="0"/>
          <w:numId w:val="1"/>
        </w:numPr>
        <w:spacing w:after="80" w:before="40" w:line="264"/>
      </w:pPr>
      <w:r>
        <w:rPr>
          <w:rFonts w:ascii="Arial" w:cs="Arial" w:eastAsia="Arial" w:hAnsi="Arial"/>
          <w:color w:val="000000"/>
          <w:sz w:val="20"/>
          <w:szCs w:val="20"/>
        </w:rPr>
        <w:t xml:space="preserve">ai_adoption_rate dropped — identified as a direct encoding of the target variable with non-overlapping value ranges per class.</w:t>
      </w:r>
    </w:p>
    <w:p>
      <w:pPr>
        <w:pStyle w:val="ListParagraph"/>
        <w:numPr>
          <w:ilvl w:val="0"/>
          <w:numId w:val="1"/>
        </w:numPr>
        <w:spacing w:after="80" w:before="40" w:line="264"/>
      </w:pPr>
      <w:r>
        <w:rPr>
          <w:rFonts w:ascii="Arial" w:cs="Arial" w:eastAsia="Arial" w:hAnsi="Arial"/>
          <w:color w:val="000000"/>
          <w:sz w:val="20"/>
          <w:szCs w:val="20"/>
        </w:rPr>
        <w:t xml:space="preserve">Numeric features imputed with median; categorical features imputed with mode, then one-hot encoded.</w:t>
      </w:r>
    </w:p>
    <w:p>
      <w:pPr>
        <w:pStyle w:val="ListParagraph"/>
        <w:numPr>
          <w:ilvl w:val="0"/>
          <w:numId w:val="1"/>
        </w:numPr>
        <w:spacing w:after="80" w:before="40" w:line="264"/>
      </w:pPr>
      <w:r>
        <w:rPr>
          <w:rFonts w:ascii="Arial" w:cs="Arial" w:eastAsia="Arial" w:hAnsi="Arial"/>
          <w:color w:val="000000"/>
          <w:sz w:val="20"/>
          <w:szCs w:val="20"/>
        </w:rPr>
        <w:t xml:space="preserve">Class imbalance handled via class_weight='balanced_subsample' within each model — no synthetic oversampling (SMOTE) required.</w:t>
      </w:r>
    </w:p>
    <w:p>
      <w:pPr>
        <w:pStyle w:val="Heading1"/>
        <w:spacing w:after="120" w:before="240"/>
      </w:pPr>
      <w:r>
        <w:rPr>
          <w:rFonts w:ascii="Arial" w:cs="Arial" w:eastAsia="Arial" w:hAnsi="Arial"/>
          <w:b/>
          <w:bCs/>
          <w:color w:val="1B2A4A"/>
          <w:sz w:val="28"/>
          <w:szCs w:val="28"/>
        </w:rPr>
        <w:t xml:space="preserve">Model Development</w:t>
      </w:r>
    </w:p>
    <w:p>
      <w:pPr>
        <w:spacing w:after="120" w:before="0" w:line="276"/>
        <w:jc w:val="left"/>
      </w:pPr>
      <w:r>
        <w:rPr>
          <w:rFonts w:ascii="Arial" w:cs="Arial" w:eastAsia="Arial" w:hAnsi="Arial"/>
          <w:b/>
          <w:bCs/>
          <w:color w:val="1B2A4A"/>
          <w:sz w:val="20"/>
          <w:szCs w:val="20"/>
        </w:rPr>
        <w:t xml:space="preserve">Decision Tree: </w:t>
      </w:r>
      <w:r>
        <w:rPr>
          <w:rFonts w:ascii="Arial" w:cs="Arial" w:eastAsia="Arial" w:hAnsi="Arial"/>
          <w:color w:val="000000"/>
          <w:sz w:val="20"/>
          <w:szCs w:val="20"/>
        </w:rPr>
        <w:t xml:space="preserve">Interpretable baseline. An unpruned tree overfits severely (100% train accuracy, 74.6% test). GridSearchCV pruning applied with max_depth=11 and min_samples_leaf=10, yielding CV F1-macro of 0.749.</w:t>
      </w:r>
    </w:p>
    <w:p>
      <w:pPr>
        <w:spacing w:after="120" w:before="0" w:line="276"/>
        <w:jc w:val="left"/>
      </w:pPr>
      <w:r>
        <w:rPr>
          <w:rFonts w:ascii="Arial" w:cs="Arial" w:eastAsia="Arial" w:hAnsi="Arial"/>
          <w:b/>
          <w:bCs/>
          <w:color w:val="1B2A4A"/>
          <w:sz w:val="20"/>
          <w:szCs w:val="20"/>
        </w:rPr>
        <w:t xml:space="preserve">Random Forest: </w:t>
      </w:r>
      <w:r>
        <w:rPr>
          <w:rFonts w:ascii="Arial" w:cs="Arial" w:eastAsia="Arial" w:hAnsi="Arial"/>
          <w:color w:val="000000"/>
          <w:sz w:val="20"/>
          <w:szCs w:val="20"/>
        </w:rPr>
        <w:t xml:space="preserve">Parallel bagging ensemble. Tuned to max_depth=9, max_features='sqrt', and 90 estimators (OOB score plateau). Feature reduction experiment: restricting to the top-15 features caused a 12 percentage-point F1 drop — signal is broadly distributed across inputs. Probability threshold optimisation at 0.79 doubles 'full' class precision from 0.24 to 0.45. CV F1-macro: 0.768.</w:t>
      </w:r>
    </w:p>
    <w:p>
      <w:pPr>
        <w:spacing w:after="120" w:before="0" w:line="276"/>
        <w:jc w:val="left"/>
      </w:pPr>
      <w:r>
        <w:rPr>
          <w:rFonts w:ascii="Arial" w:cs="Arial" w:eastAsia="Arial" w:hAnsi="Arial"/>
          <w:b/>
          <w:bCs/>
          <w:color w:val="1B2A4A"/>
          <w:sz w:val="20"/>
          <w:szCs w:val="20"/>
        </w:rPr>
        <w:t xml:space="preserve">XGBoost: </w:t>
      </w:r>
      <w:r>
        <w:rPr>
          <w:rFonts w:ascii="Arial" w:cs="Arial" w:eastAsia="Arial" w:hAnsi="Arial"/>
          <w:color w:val="000000"/>
          <w:sz w:val="20"/>
          <w:szCs w:val="20"/>
        </w:rPr>
        <w:t xml:space="preserve">Sequential gradient boosting with L1/L2 regularisation. Tuned to max_depth=5, min_child_weight=50, 300 boosting rounds, and learning_rate=0.05. CV F1-macro: 0.901. Overfitting gap on holdout: only 1.61%. Achieves the highest recall (89%) on the rarest class, confirming strong minority-class detection.</w:t>
      </w:r>
    </w:p>
    <w:p>
      <w:pPr>
        <w:pStyle w:val="Heading1"/>
        <w:pageBreakBefore/>
        <w:spacing w:after="120" w:before="240"/>
      </w:pPr>
      <w:r>
        <w:rPr>
          <w:rFonts w:ascii="Arial" w:cs="Arial" w:eastAsia="Arial" w:hAnsi="Arial"/>
          <w:b/>
          <w:bCs/>
          <w:color w:val="1B2A4A"/>
          <w:sz w:val="28"/>
          <w:szCs w:val="28"/>
        </w:rPr>
        <w:t xml:space="preserve">Model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Metric</w:t>
            </w:r>
          </w:p>
        </w:tc>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Decision Tree</w:t>
            </w:r>
          </w:p>
        </w:tc>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Random Forest</w:t>
            </w:r>
          </w:p>
        </w:tc>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XGBoost</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CV F1-macro</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0.749</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0.768</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0.901</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Test F1-macro</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0.742</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0.763</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0.783</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Test Accuracy</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0.822</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0.833</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0.862</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Recall-macro</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0.852</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0.880</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0.903</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Precision-macro</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0.720</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0.735</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0.754</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Overfitting Gap</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~25pp</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Small</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1.61%</w:t>
            </w:r>
          </w:p>
        </w:tc>
      </w:tr>
    </w:tbl>
    <w:p>
      <w:pPr>
        <w:spacing w:after="40" w:before="0" w:line="276"/>
        <w:jc w:val="left"/>
      </w:pPr>
      <w:r>
        <w:rPr>
          <w:rFonts w:ascii="Arial" w:cs="Arial" w:eastAsia="Arial" w:hAnsi="Arial"/>
          <w:color w:val="000000"/>
          <w:sz w:val="20"/>
          <w:szCs w:val="20"/>
        </w:rPr>
        <w:t xml:space="preserve"/>
      </w:r>
    </w:p>
    <w:p>
      <w:pPr>
        <w:pStyle w:val="Heading2"/>
        <w:spacing w:after="120" w:before="200"/>
      </w:pPr>
      <w:r>
        <w:rPr>
          <w:rFonts w:ascii="Arial" w:cs="Arial" w:eastAsia="Arial" w:hAnsi="Arial"/>
          <w:b/>
          <w:bCs/>
          <w:color w:val="1B2A4A"/>
          <w:sz w:val="24"/>
          <w:szCs w:val="24"/>
        </w:rPr>
        <w:t xml:space="preserve">Validation Strategy</w:t>
      </w:r>
    </w:p>
    <w:p>
      <w:pPr>
        <w:pStyle w:val="ListParagraph"/>
        <w:numPr>
          <w:ilvl w:val="0"/>
          <w:numId w:val="1"/>
        </w:numPr>
        <w:spacing w:after="80" w:before="40" w:line="264"/>
      </w:pPr>
      <w:r>
        <w:rPr>
          <w:rFonts w:ascii="Arial" w:cs="Arial" w:eastAsia="Arial" w:hAnsi="Arial"/>
          <w:color w:val="000000"/>
          <w:sz w:val="20"/>
          <w:szCs w:val="20"/>
        </w:rPr>
        <w:t xml:space="preserve">5-fold stratified cross-validation for hyperparameter tuning across all three models.</w:t>
      </w:r>
    </w:p>
    <w:p>
      <w:pPr>
        <w:pStyle w:val="ListParagraph"/>
        <w:numPr>
          <w:ilvl w:val="0"/>
          <w:numId w:val="1"/>
        </w:numPr>
        <w:spacing w:after="80" w:before="40" w:line="264"/>
      </w:pPr>
      <w:r>
        <w:rPr>
          <w:rFonts w:ascii="Arial" w:cs="Arial" w:eastAsia="Arial" w:hAnsi="Arial"/>
          <w:color w:val="000000"/>
          <w:sz w:val="20"/>
          <w:szCs w:val="20"/>
        </w:rPr>
        <w:t xml:space="preserve">Out-of-bag (OOB) validation for Random Forest — free validation from the bootstrap sampling procedure.</w:t>
      </w:r>
    </w:p>
    <w:p>
      <w:pPr>
        <w:pStyle w:val="ListParagraph"/>
        <w:numPr>
          <w:ilvl w:val="0"/>
          <w:numId w:val="1"/>
        </w:numPr>
        <w:spacing w:after="80" w:before="40" w:line="264"/>
      </w:pPr>
      <w:r>
        <w:rPr>
          <w:rFonts w:ascii="Arial" w:cs="Arial" w:eastAsia="Arial" w:hAnsi="Arial"/>
          <w:color w:val="000000"/>
          <w:sz w:val="20"/>
          <w:szCs w:val="20"/>
        </w:rPr>
        <w:t xml:space="preserve">70/30 stratified holdout reserved for final, unbiased evaluation.</w:t>
      </w:r>
    </w:p>
    <w:p>
      <w:pPr>
        <w:pStyle w:val="ListParagraph"/>
        <w:numPr>
          <w:ilvl w:val="0"/>
          <w:numId w:val="1"/>
        </w:numPr>
        <w:spacing w:after="80" w:before="40" w:line="264"/>
      </w:pPr>
      <w:r>
        <w:rPr>
          <w:rFonts w:ascii="Arial" w:cs="Arial" w:eastAsia="Arial" w:hAnsi="Arial"/>
          <w:color w:val="000000"/>
          <w:sz w:val="20"/>
          <w:szCs w:val="20"/>
        </w:rPr>
        <w:t xml:space="preserve">McNemar's test confirms the XGBoost vs. Random Forest performance difference is statistically significant.</w:t>
      </w:r>
    </w:p>
    <w:p>
      <w:pPr>
        <w:pStyle w:val="ListParagraph"/>
        <w:numPr>
          <w:ilvl w:val="0"/>
          <w:numId w:val="1"/>
        </w:numPr>
        <w:spacing w:after="80" w:before="40" w:line="264"/>
      </w:pPr>
      <w:r>
        <w:rPr>
          <w:rFonts w:ascii="Arial" w:cs="Arial" w:eastAsia="Arial" w:hAnsi="Arial"/>
          <w:color w:val="000000"/>
          <w:sz w:val="20"/>
          <w:szCs w:val="20"/>
        </w:rPr>
        <w:t xml:space="preserve">Bootstrap VaR(5%) on F1-macro quantifies worst-case model performance under resampling.</w:t>
      </w:r>
    </w:p>
    <w:p>
      <w:pPr>
        <w:pStyle w:val="ListParagraph"/>
        <w:numPr>
          <w:ilvl w:val="0"/>
          <w:numId w:val="1"/>
        </w:numPr>
        <w:spacing w:after="80" w:before="40" w:line="264"/>
      </w:pPr>
      <w:r>
        <w:rPr>
          <w:rFonts w:ascii="Arial" w:cs="Arial" w:eastAsia="Arial" w:hAnsi="Arial"/>
          <w:color w:val="000000"/>
          <w:sz w:val="20"/>
          <w:szCs w:val="20"/>
        </w:rPr>
        <w:t xml:space="preserve">VIF analysis confirms multicollinearity is adequately handled by the tree-based modelling approach.</w:t>
      </w:r>
    </w:p>
    <w:p>
      <w:pPr>
        <w:pStyle w:val="Heading2"/>
        <w:spacing w:after="120" w:before="200"/>
      </w:pPr>
      <w:r>
        <w:rPr>
          <w:rFonts w:ascii="Arial" w:cs="Arial" w:eastAsia="Arial" w:hAnsi="Arial"/>
          <w:b/>
          <w:bCs/>
          <w:color w:val="1B2A4A"/>
          <w:sz w:val="24"/>
          <w:szCs w:val="24"/>
        </w:rPr>
        <w:t xml:space="preserve">Key Feature Findings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Feature</w:t>
            </w:r>
          </w:p>
        </w:tc>
        <w:tc>
          <w:tcPr>
            <w:tcBorders>
              <w:top w:val="single" w:color="BFBFBF" w:sz="1"/>
              <w:left w:val="single" w:color="BFBFBF" w:sz="1"/>
              <w:bottom w:val="single" w:color="BFBFBF" w:sz="1"/>
              <w:right w:val="single" w:color="BFBFBF" w:sz="1"/>
            </w:tcBorders>
            <w:shd w:fill="1B2A4A" w:val="clear"/>
            <w:tcMar>
              <w:top w:type="dxa" w:w="40"/>
              <w:left w:type="dxa" w:w="80"/>
              <w:bottom w:type="dxa" w:w="40"/>
              <w:right w:type="dxa" w:w="80"/>
            </w:tcMar>
            <w:vAlign w:val="center"/>
          </w:tcPr>
          <w:p>
            <w:pPr>
              <w:spacing w:after="40" w:before="40"/>
              <w:jc w:val="center"/>
            </w:pPr>
            <w:r>
              <w:rPr>
                <w:rFonts w:ascii="Arial" w:cs="Arial" w:eastAsia="Arial" w:hAnsi="Arial"/>
                <w:b/>
                <w:bCs/>
                <w:color w:val="FFFFFF"/>
                <w:sz w:val="18"/>
                <w:szCs w:val="18"/>
              </w:rPr>
              <w:t xml:space="preserve">Interpretation</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ai_maturity_score</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Strongest single predictor across all three models</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years_using_ai</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Sustained investment duration drives adoption progression</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ai_budget_percentage</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Budget allocation level signals organisational commitment</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ai_training_hours</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Directly controllable lever for workforce upskilling</w:t>
            </w:r>
          </w:p>
        </w:tc>
      </w:tr>
      <w:tr>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left"/>
            </w:pPr>
            <w:r>
              <w:rPr>
                <w:rFonts w:ascii="Arial" w:cs="Arial" w:eastAsia="Arial" w:hAnsi="Arial"/>
                <w:b w:val="false"/>
                <w:bCs w:val="false"/>
                <w:color w:val="000000"/>
                <w:sz w:val="18"/>
                <w:szCs w:val="18"/>
              </w:rPr>
              <w:t xml:space="preserve">ai_failure_rate</w:t>
            </w:r>
          </w:p>
        </w:tc>
        <w:tc>
          <w:tcPr>
            <w:tcBorders>
              <w:top w:val="single" w:color="BFBFBF" w:sz="1"/>
              <w:left w:val="single" w:color="BFBFBF" w:sz="1"/>
              <w:bottom w:val="single" w:color="BFBFBF" w:sz="1"/>
              <w:right w:val="single" w:color="BFBFBF" w:sz="1"/>
            </w:tcBorders>
            <w:shd w:fill="FFFFFF" w:val="clear"/>
            <w:tcMar>
              <w:top w:type="dxa" w:w="40"/>
              <w:left w:type="dxa" w:w="80"/>
              <w:bottom w:type="dxa" w:w="40"/>
              <w:right w:type="dxa" w:w="80"/>
            </w:tcMar>
            <w:vAlign w:val="center"/>
          </w:tcPr>
          <w:p>
            <w:pPr>
              <w:spacing w:after="40" w:before="40"/>
              <w:jc w:val="center"/>
            </w:pPr>
            <w:r>
              <w:rPr>
                <w:rFonts w:ascii="Arial" w:cs="Arial" w:eastAsia="Arial" w:hAnsi="Arial"/>
                <w:b w:val="false"/>
                <w:bCs w:val="false"/>
                <w:color w:val="000000"/>
                <w:sz w:val="18"/>
                <w:szCs w:val="18"/>
              </w:rPr>
              <w:t xml:space="preserve">Governance and implementation quality indicator</w:t>
            </w:r>
          </w:p>
        </w:tc>
      </w:tr>
    </w:tbl>
    <w:p>
      <w:pPr>
        <w:pStyle w:val="Heading1"/>
        <w:pageBreakBefore/>
        <w:spacing w:after="120" w:before="240"/>
      </w:pPr>
      <w:r>
        <w:rPr>
          <w:rFonts w:ascii="Arial" w:cs="Arial" w:eastAsia="Arial" w:hAnsi="Arial"/>
          <w:b/>
          <w:bCs/>
          <w:color w:val="1B2A4A"/>
          <w:sz w:val="28"/>
          <w:szCs w:val="28"/>
        </w:rPr>
        <w:t xml:space="preserve">Recommendations for Managers</w:t>
      </w:r>
    </w:p>
    <w:p>
      <w:pPr>
        <w:pStyle w:val="ListParagraph"/>
        <w:numPr>
          <w:ilvl w:val="0"/>
          <w:numId w:val="2"/>
        </w:numPr>
        <w:spacing w:after="100" w:line="264"/>
      </w:pPr>
      <w:r>
        <w:rPr>
          <w:rFonts w:ascii="Arial" w:cs="Arial" w:eastAsia="Arial" w:hAnsi="Arial"/>
          <w:color w:val="000000"/>
          <w:sz w:val="20"/>
          <w:szCs w:val="20"/>
        </w:rPr>
        <w:t xml:space="preserve">Prioritise ai_maturity_score as the primary quarterly KPI — it is the single strongest predictor of adoption stage across all models.</w:t>
      </w:r>
    </w:p>
    <w:p>
      <w:pPr>
        <w:pStyle w:val="ListParagraph"/>
        <w:numPr>
          <w:ilvl w:val="0"/>
          <w:numId w:val="2"/>
        </w:numPr>
        <w:spacing w:after="100" w:line="264"/>
      </w:pPr>
      <w:r>
        <w:rPr>
          <w:rFonts w:ascii="Arial" w:cs="Arial" w:eastAsia="Arial" w:hAnsi="Arial"/>
          <w:color w:val="000000"/>
          <w:sz w:val="20"/>
          <w:szCs w:val="20"/>
        </w:rPr>
        <w:t xml:space="preserve">Invest in ai_training_hours — workforce upskilling is a directly controllable lever that strongly differentiates adoption stages.</w:t>
      </w:r>
    </w:p>
    <w:p>
      <w:pPr>
        <w:pStyle w:val="ListParagraph"/>
        <w:numPr>
          <w:ilvl w:val="0"/>
          <w:numId w:val="2"/>
        </w:numPr>
        <w:spacing w:after="100" w:line="264"/>
      </w:pPr>
      <w:r>
        <w:rPr>
          <w:rFonts w:ascii="Arial" w:cs="Arial" w:eastAsia="Arial" w:hAnsi="Arial"/>
          <w:color w:val="000000"/>
          <w:sz w:val="20"/>
          <w:szCs w:val="20"/>
        </w:rPr>
        <w:t xml:space="preserve">Maintain ai_budget_percentage above 10% — sustained budget allocation is a consistent driver of progression from pilot to full adoption.</w:t>
      </w:r>
    </w:p>
    <w:p>
      <w:pPr>
        <w:pStyle w:val="ListParagraph"/>
        <w:numPr>
          <w:ilvl w:val="0"/>
          <w:numId w:val="2"/>
        </w:numPr>
        <w:spacing w:after="100" w:line="264"/>
      </w:pPr>
      <w:r>
        <w:rPr>
          <w:rFonts w:ascii="Arial" w:cs="Arial" w:eastAsia="Arial" w:hAnsi="Arial"/>
          <w:color w:val="000000"/>
          <w:sz w:val="20"/>
          <w:szCs w:val="20"/>
        </w:rPr>
        <w:t xml:space="preserve">Technology and Finance sectors progress fastest — prioritise talent retention and knowledge transfer in these verticals.</w:t>
      </w:r>
    </w:p>
    <w:p>
      <w:pPr>
        <w:pStyle w:val="ListParagraph"/>
        <w:numPr>
          <w:ilvl w:val="0"/>
          <w:numId w:val="2"/>
        </w:numPr>
        <w:spacing w:after="100" w:line="264"/>
      </w:pPr>
      <w:r>
        <w:rPr>
          <w:rFonts w:ascii="Arial" w:cs="Arial" w:eastAsia="Arial" w:hAnsi="Arial"/>
          <w:color w:val="000000"/>
          <w:sz w:val="20"/>
          <w:szCs w:val="20"/>
        </w:rPr>
        <w:t xml:space="preserve">Adjust intervention strategies by region — geography significantly influences adoption speed and should inform localised rollout plans.</w:t>
      </w:r>
    </w:p>
    <w:p>
      <w:pPr>
        <w:pStyle w:val="Heading2"/>
        <w:spacing w:after="120" w:before="200"/>
      </w:pPr>
      <w:r>
        <w:rPr>
          <w:rFonts w:ascii="Arial" w:cs="Arial" w:eastAsia="Arial" w:hAnsi="Arial"/>
          <w:b/>
          <w:bCs/>
          <w:color w:val="1B2A4A"/>
          <w:sz w:val="24"/>
          <w:szCs w:val="24"/>
        </w:rPr>
        <w:t xml:space="preserve">Threshold Decision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pPr>
              <w:spacing w:after="60"/>
            </w:pPr>
            <w:r>
              <w:rPr>
                <w:rFonts w:ascii="Arial" w:cs="Arial" w:eastAsia="Arial" w:hAnsi="Arial"/>
                <w:b/>
                <w:bCs/>
                <w:color w:val="1B2A4A"/>
                <w:sz w:val="20"/>
                <w:szCs w:val="20"/>
              </w:rPr>
              <w:t xml:space="preserve">High Precision Mode (0.79)</w:t>
            </w:r>
          </w:p>
          <w:p>
            <w:pPr>
              <w:spacing w:after="40"/>
            </w:pPr>
            <w:r>
              <w:rPr>
                <w:rFonts w:ascii="Arial" w:cs="Arial" w:eastAsia="Arial" w:hAnsi="Arial"/>
                <w:color w:val="000000"/>
                <w:sz w:val="19"/>
                <w:szCs w:val="19"/>
              </w:rPr>
              <w:t xml:space="preserve">Use for benchmarking and identifying confirmed full-adopters. Precision improves from 0.24 to 0.45.</w:t>
            </w:r>
          </w:p>
        </w:tc>
        <w:tc>
          <w:tcPr>
            <w:tcW w:type="pct" w:w="5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pPr>
              <w:spacing w:after="60"/>
            </w:pPr>
            <w:r>
              <w:rPr>
                <w:rFonts w:ascii="Arial" w:cs="Arial" w:eastAsia="Arial" w:hAnsi="Arial"/>
                <w:b/>
                <w:bCs/>
                <w:color w:val="1B2A4A"/>
                <w:sz w:val="20"/>
                <w:szCs w:val="20"/>
              </w:rPr>
              <w:t xml:space="preserve">High Recall Mode (0.50)</w:t>
            </w:r>
          </w:p>
          <w:p>
            <w:pPr>
              <w:spacing w:after="40"/>
            </w:pPr>
            <w:r>
              <w:rPr>
                <w:rFonts w:ascii="Arial" w:cs="Arial" w:eastAsia="Arial" w:hAnsi="Arial"/>
                <w:color w:val="000000"/>
                <w:sz w:val="19"/>
                <w:szCs w:val="19"/>
              </w:rPr>
              <w:t xml:space="preserve">Use for outreach campaigns. Recall: 0.86. Maximises detection of companies approaching full adoption.</w:t>
            </w:r>
          </w:p>
        </w:tc>
      </w:tr>
    </w:tbl>
    <w:p>
      <w:pPr>
        <w:spacing w:after="40" w:before="0" w:line="276"/>
        <w:jc w:val="left"/>
      </w:pPr>
      <w:r>
        <w:rPr>
          <w:rFonts w:ascii="Arial" w:cs="Arial" w:eastAsia="Arial" w:hAnsi="Arial"/>
          <w:color w:val="000000"/>
          <w:sz w:val="20"/>
          <w:szCs w:val="20"/>
        </w:rPr>
        <w:t xml:space="preserve"/>
      </w:r>
    </w:p>
    <w:p>
      <w:pPr>
        <w:pStyle w:val="Heading2"/>
        <w:spacing w:after="120" w:before="200"/>
      </w:pPr>
      <w:r>
        <w:rPr>
          <w:rFonts w:ascii="Arial" w:cs="Arial" w:eastAsia="Arial" w:hAnsi="Arial"/>
          <w:b/>
          <w:bCs/>
          <w:color w:val="1B2A4A"/>
          <w:sz w:val="24"/>
          <w:szCs w:val="24"/>
        </w:rPr>
        <w:t xml:space="preserve">Quantitative Finance Extensions</w:t>
      </w:r>
    </w:p>
    <w:p>
      <w:pPr>
        <w:spacing w:after="120" w:before="0" w:line="276"/>
        <w:jc w:val="left"/>
      </w:pPr>
      <w:r>
        <w:rPr>
          <w:rFonts w:ascii="Arial" w:cs="Arial" w:eastAsia="Arial" w:hAnsi="Arial"/>
          <w:color w:val="000000"/>
          <w:sz w:val="20"/>
          <w:szCs w:val="20"/>
        </w:rPr>
        <w:t xml:space="preserve">The Streamlit app includes a dedicated Quantitative Finance Analytics tab with seven PhD-level analyses: Markov transition matrices for adoption trajectory forecasting, cost-sensitive loss with asymmetric business costs, model calibration with Brier score decomposition, Markowitz portfolio construction with Kelly criterion, VaR/CVaR risk metrics with conformal prediction, Cox survival analysis for time-to-adoption, and Bayesian Model Averaging for model risk reduction. See the Technical Annex for full methodology and results.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i/>
        <w:iCs/>
        <w:color w:val="2E5090"/>
        <w:sz w:val="16"/>
        <w:szCs w:val="16"/>
      </w:rPr>
      <w:t xml:space="preserve">Group 3  |  MBDS 2026  |  IE 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B2A4A"/>
      <w:sz w:val="28"/>
      <w:szCs w:val="28"/>
    </w:rPr>
  </w:style>
  <w:style w:type="paragraph" w:styleId="Heading2">
    <w:name w:val="Heading 2"/>
    <w:basedOn w:val="Normal"/>
    <w:next w:val="Normal"/>
    <w:qFormat/>
    <w:rPr>
      <w:rFonts w:ascii="Arial" w:cs="Arial" w:eastAsia="Arial" w:hAnsi="Arial"/>
      <w:b/>
      <w:bCs/>
      <w:color w:val="1B2A4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2026-03-23T21:24:59.428Z</dcterms:created>
  <dcterms:modified xsi:type="dcterms:W3CDTF">2026-03-23T21:24:59.428Z</dcterms:modified>
</cp:coreProperties>
</file>

<file path=docProps/custom.xml><?xml version="1.0" encoding="utf-8"?>
<Properties xmlns="http://schemas.openxmlformats.org/officeDocument/2006/custom-properties" xmlns:vt="http://schemas.openxmlformats.org/officeDocument/2006/docPropsVTypes"/>
</file>