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before="60"/>
        <w:jc w:val="center"/>
      </w:pPr>
      <w:r>
        <w:rPr>
          <w:rFonts w:ascii="Arial" w:cs="Arial" w:eastAsia="Arial" w:hAnsi="Arial"/>
          <w:b/>
          <w:bCs/>
          <w:color w:val="1F3864"/>
          <w:sz w:val="52"/>
          <w:szCs w:val="52"/>
        </w:rPr>
        <w:t xml:space="preserve">Technical Annex</w:t>
      </w:r>
    </w:p>
    <w:p>
      <w:pPr>
        <w:spacing w:after="100" w:before="60"/>
        <w:jc w:val="center"/>
      </w:pPr>
      <w:r>
        <w:rPr>
          <w:rFonts w:ascii="Arial" w:cs="Arial" w:eastAsia="Arial" w:hAnsi="Arial"/>
          <w:color w:val="2E75B6"/>
          <w:sz w:val="28"/>
          <w:szCs w:val="28"/>
        </w:rPr>
        <w:t xml:space="preserve">Predicting AI Adoption Stages in Enterprises</w:t>
      </w:r>
    </w:p>
    <w:p>
      <w:pPr>
        <w:spacing w:after="400" w:before="60"/>
        <w:jc w:val="center"/>
      </w:pPr>
      <w:r>
        <w:rPr>
          <w:rFonts w:ascii="Arial" w:cs="Arial" w:eastAsia="Arial" w:hAnsi="Arial"/>
          <w:color w:val="444444"/>
          <w:sz w:val="24"/>
          <w:szCs w:val="24"/>
        </w:rPr>
        <w:t xml:space="preserve">Machine Learning II Group Assignment</w:t>
      </w:r>
    </w:p>
    <w:p>
      <w:pPr>
        <w:pBdr>
          <w:bottom w:val="single" w:color="2E75B6" w:sz="2"/>
        </w:pBdr>
        <w:spacing w:after="400"/>
      </w:pPr>
    </w:p>
    <w:p>
      <w:pPr>
        <w:spacing w:after="80" w:before="60"/>
        <w:jc w:val="center"/>
      </w:pPr>
      <w:r>
        <w:rPr>
          <w:rFonts w:ascii="Arial" w:cs="Arial" w:eastAsia="Arial" w:hAnsi="Arial"/>
          <w:b/>
          <w:bCs/>
          <w:color w:val="1F3864"/>
          <w:sz w:val="24"/>
          <w:szCs w:val="24"/>
        </w:rPr>
        <w:t xml:space="preserve">Group 3</w:t>
      </w:r>
    </w:p>
    <w:p>
      <w:pPr>
        <w:spacing w:after="80" w:before="60"/>
        <w:jc w:val="center"/>
      </w:pPr>
      <w:r>
        <w:rPr>
          <w:rFonts w:ascii="Arial" w:cs="Arial" w:eastAsia="Arial" w:hAnsi="Arial"/>
          <w:color w:val="444444"/>
          <w:sz w:val="22"/>
          <w:szCs w:val="22"/>
        </w:rPr>
        <w:t xml:space="preserve">Master in Business Data Science (MBDS) 2026</w:t>
      </w:r>
    </w:p>
    <w:p>
      <w:pPr>
        <w:spacing w:after="600" w:before="60"/>
        <w:jc w:val="center"/>
      </w:pPr>
      <w:r>
        <w:rPr>
          <w:rFonts w:ascii="Arial" w:cs="Arial" w:eastAsia="Arial" w:hAnsi="Arial"/>
          <w:color w:val="444444"/>
          <w:sz w:val="22"/>
          <w:szCs w:val="22"/>
        </w:rPr>
        <w:t xml:space="preserve">IE University</w:t>
      </w:r>
    </w:p>
    <w:p>
      <w:pPr>
        <w:spacing w:after="120" w:before="60"/>
        <w:jc w:val="center"/>
      </w:pPr>
      <w:r>
        <w:rPr>
          <w:rFonts w:ascii="Arial" w:cs="Arial" w:eastAsia="Arial" w:hAnsi="Arial"/>
          <w:color w:val="888888"/>
          <w:sz w:val="20"/>
          <w:szCs w:val="20"/>
        </w:rPr>
        <w:t xml:space="preserve">March 2026</w:t>
      </w:r>
    </w:p>
    <w:p>
      <w:r>
        <w:br w:type="page"/>
      </w:r>
    </w:p>
    <w:p>
      <w:pPr>
        <w:pStyle w:val="Heading1"/>
        <w:spacing w:after="120" w:before="240"/>
      </w:pPr>
      <w:r>
        <w:rPr>
          <w:rFonts w:ascii="Arial" w:cs="Arial" w:eastAsia="Arial" w:hAnsi="Arial"/>
          <w:b/>
          <w:bCs/>
          <w:color w:val="1F3864"/>
          <w:sz w:val="28"/>
          <w:szCs w:val="28"/>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Pr>
        <w:spacing w:after="200" w:before="60"/>
        <w:jc w:val="left"/>
      </w:pPr>
      <w:r>
        <w:rPr>
          <w:rFonts w:ascii="Arial" w:cs="Arial" w:eastAsia="Arial" w:hAnsi="Arial"/>
          <w:i/>
          <w:iCs/>
          <w:color w:val="888888"/>
          <w:sz w:val="16"/>
          <w:szCs w:val="16"/>
        </w:rPr>
        <w:t xml:space="preserve">Note: Update the Table of Contents in Word by right-clicking and selecting 'Update Field'.</w:t>
      </w:r>
    </w:p>
    <w:p>
      <w:pPr>
        <w:pStyle w:val="Heading1"/>
        <w:pageBreakBefore/>
        <w:spacing w:after="120" w:before="0"/>
      </w:pPr>
      <w:r>
        <w:rPr>
          <w:rFonts w:ascii="Arial" w:cs="Arial" w:eastAsia="Arial" w:hAnsi="Arial"/>
          <w:b/>
          <w:bCs/>
          <w:color w:val="1F3864"/>
          <w:sz w:val="28"/>
          <w:szCs w:val="28"/>
        </w:rPr>
        <w:t xml:space="preserve">Section 1: Data Dictionary (Variable Codebook)</w:t>
      </w:r>
    </w:p>
    <w:p>
      <w:pPr>
        <w:spacing w:after="120" w:before="60"/>
        <w:jc w:val="left"/>
      </w:pPr>
      <w:r>
        <w:rPr>
          <w:rFonts w:ascii="Arial" w:cs="Arial" w:eastAsia="Arial" w:hAnsi="Arial"/>
          <w:sz w:val="20"/>
          <w:szCs w:val="20"/>
        </w:rPr>
        <w:t xml:space="preserve">The dataset comprises 43 variables collected from enterprise surveys on AI adoption. The table below provides a complete codebook including variable names, data types, value ranges, and descriptions. The target variable (ai_adoption_stage) and the dropped leakage variable (ai_adoption_rate) are highlighted.</w:t>
      </w:r>
    </w:p>
    <w:p>
      <w:pPr>
        <w:spacing w:after="120" w:before="60"/>
        <w:jc w:val="left"/>
      </w:pPr>
      <w:r>
        <w:rPr>
          <w:rFonts w:ascii="Arial" w:cs="Arial" w:eastAsia="Arial" w:hAnsi="Arial"/>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Variable</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Type</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Range / Values</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Description</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response_id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Unique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Unique survey response identifier</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company_id</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Unique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 identifier (panel key)</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survey_year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2023-2026</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 of survey observation</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quarter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Q1, Q2, Q3, Q4</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Quarter of observation</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country</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Multiple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Country of company headquarters</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region</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Multiple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Geographic region</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industry</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Technology, Finance, Healthcare, Manufacturing, Retail, Education, Energy</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 industry sector</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company_size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Startup, SME, Mid-size, Enterprise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Size classification</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num_employees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Continuous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Number of employees</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annual_revenue_usd_millions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Continuous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Annual revenue in USD millions</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company_founding_year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 company was founded</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company_age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Years since founding</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company_age_group</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0-5, 6-15, 16-30, 30+ years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Age group classification</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ai_adoption_rate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DROPPED - direct encoding of target (data leakage)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ai_adoption_stage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none, pilot, partial, full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TARGET VARIABLE</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years_using_ai</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0-20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Years of AI experience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ai_primary_tool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Multiple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Primary AI tool used</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num_ai_tools_used</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Number of AI tools in use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ai_use_case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Multiple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Primary AI use case</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ai_projects_active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Number of active AI projects</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ai_training_hours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0-500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Annual AI training hours per employee</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ai_budget_percentage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0-30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 budget as % of total revenue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ai_maturity_score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Composite AI capability maturity index</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ai_failure_rate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Rate of failed AI initiatives</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ai_investment_per_employee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Continuous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 investment per employee (USD)</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regulatory_compliance_score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Regulatory compliance rating</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data_privacy_level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Low, Medium, High</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Data privacy classification</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ai_ethics_committee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Yes, No</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Presence of AI ethics committee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ai_risk_management_score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 risk management rating</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remote_work_percentage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Percentage of remote workers</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employee_satisfaction_score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Employee satisfaction rating</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task_automation_rate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Fraction of tasks automated</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time_saved_per_week</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Weekly hours saved by AI</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productivity_change_percent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Continuous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Productivity change (%)</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jobs_displaced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Jobs displaced by AI</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jobs_created</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Jobs created by AI</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reskilled_employees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Employees reskilled for AI</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revenue_growth_percent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Continuous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Annual revenue growth (%)</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cost_reduction_percent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Continuous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Cost reduction from AI (%)</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innovation_score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Integer</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Innovation capability score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customer_satisfaction</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Float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0-10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Customer satisfaction rating</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survey_source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Multiple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Source of survey data</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data_collection_method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Categorical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Multiple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Method of data collection</w:t>
            </w:r>
          </w:p>
        </w:tc>
      </w:tr>
    </w:tbl>
    <w:p>
      <w:pPr>
        <w:spacing w:after="200" w:before="80"/>
        <w:jc w:val="left"/>
      </w:pPr>
      <w:r>
        <w:rPr>
          <w:rFonts w:ascii="Arial" w:cs="Arial" w:eastAsia="Arial" w:hAnsi="Arial"/>
          <w:i/>
          <w:iCs/>
          <w:color w:val="888888"/>
          <w:sz w:val="16"/>
          <w:szCs w:val="16"/>
        </w:rPr>
        <w:t xml:space="preserve">Note: ai_adoption_rate was dropped prior to modeling due to direct data leakage with the target variable.</w:t>
      </w:r>
    </w:p>
    <w:p>
      <w:pPr>
        <w:pStyle w:val="Heading1"/>
        <w:pageBreakBefore/>
        <w:spacing w:after="120" w:before="0"/>
      </w:pPr>
      <w:r>
        <w:rPr>
          <w:rFonts w:ascii="Arial" w:cs="Arial" w:eastAsia="Arial" w:hAnsi="Arial"/>
          <w:b/>
          <w:bCs/>
          <w:color w:val="1F3864"/>
          <w:sz w:val="28"/>
          <w:szCs w:val="28"/>
        </w:rPr>
        <w:t xml:space="preserve">Section 2: Confusion Matrices</w:t>
      </w:r>
    </w:p>
    <w:p>
      <w:pPr>
        <w:spacing w:after="120" w:before="60"/>
        <w:jc w:val="left"/>
      </w:pPr>
      <w:r>
        <w:rPr>
          <w:rFonts w:ascii="Arial" w:cs="Arial" w:eastAsia="Arial" w:hAnsi="Arial"/>
          <w:sz w:val="20"/>
          <w:szCs w:val="20"/>
        </w:rPr>
        <w:t xml:space="preserve">The following 4x4 confusion matrices show the classification performance of each model on the held-out test set. Rows represent actual classes and columns represent predicted classes. The class order is: none, pilot, partial, full. Diagonal cells (correct predictions) are highlighted in green.</w:t>
      </w:r>
    </w:p>
    <w:p>
      <w:pPr>
        <w:pStyle w:val="Heading2"/>
        <w:spacing w:after="100" w:before="200"/>
      </w:pPr>
      <w:r>
        <w:rPr>
          <w:rFonts w:ascii="Arial" w:cs="Arial" w:eastAsia="Arial" w:hAnsi="Arial"/>
          <w:b/>
          <w:bCs/>
          <w:color w:val="2E75B6"/>
          <w:sz w:val="24"/>
          <w:szCs w:val="24"/>
        </w:rPr>
        <w:t xml:space="preserve">2.1 Decision Tree</w:t>
      </w:r>
    </w:p>
    <w:tbl>
      <w:tblPr>
        <w:tblW w:type="pct" w:w="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Actual \ Predicted</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none</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pilot</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partial</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full</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none</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1,559</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pilot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16,601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2,630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64</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partial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2,558</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18,438</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2,644</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full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24</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93</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389</w:t>
            </w:r>
          </w:p>
        </w:tc>
      </w:tr>
    </w:tbl>
    <w:p>
      <w:pPr>
        <w:spacing w:after="120" w:before="60"/>
        <w:jc w:val="left"/>
      </w:pPr>
      <w:r>
        <w:rPr>
          <w:rFonts w:ascii="Arial" w:cs="Arial" w:eastAsia="Arial" w:hAnsi="Arial"/>
          <w:sz w:val="20"/>
          <w:szCs w:val="20"/>
        </w:rPr>
        <w:t xml:space="preserve"/>
      </w:r>
    </w:p>
    <w:p>
      <w:pPr>
        <w:pStyle w:val="Heading2"/>
        <w:spacing w:after="100" w:before="200"/>
      </w:pPr>
      <w:r>
        <w:rPr>
          <w:rFonts w:ascii="Arial" w:cs="Arial" w:eastAsia="Arial" w:hAnsi="Arial"/>
          <w:b/>
          <w:bCs/>
          <w:color w:val="2E75B6"/>
          <w:sz w:val="24"/>
          <w:szCs w:val="24"/>
        </w:rPr>
        <w:t xml:space="preserve">2.2 Random Forest</w:t>
      </w:r>
    </w:p>
    <w:tbl>
      <w:tblPr>
        <w:tblW w:type="pct" w:w="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Actual \ Predicted</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none</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pilot</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partial</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full</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none</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1,559</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pilot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16,507</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2,721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67</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partial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2,100</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18,937</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2,603</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full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15</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56</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435</w:t>
            </w:r>
          </w:p>
        </w:tc>
      </w:tr>
    </w:tbl>
    <w:p>
      <w:pPr>
        <w:spacing w:after="120" w:before="60"/>
        <w:jc w:val="left"/>
      </w:pPr>
      <w:r>
        <w:rPr>
          <w:rFonts w:ascii="Arial" w:cs="Arial" w:eastAsia="Arial" w:hAnsi="Arial"/>
          <w:sz w:val="20"/>
          <w:szCs w:val="20"/>
        </w:rPr>
        <w:t xml:space="preserve"/>
      </w:r>
    </w:p>
    <w:p>
      <w:pPr>
        <w:pStyle w:val="Heading2"/>
        <w:spacing w:after="100" w:before="200"/>
      </w:pPr>
      <w:r>
        <w:rPr>
          <w:rFonts w:ascii="Arial" w:cs="Arial" w:eastAsia="Arial" w:hAnsi="Arial"/>
          <w:b/>
          <w:bCs/>
          <w:color w:val="2E75B6"/>
          <w:sz w:val="24"/>
          <w:szCs w:val="24"/>
        </w:rPr>
        <w:t xml:space="preserve">2.3 XGBoost</w:t>
      </w:r>
    </w:p>
    <w:tbl>
      <w:tblPr>
        <w:tblW w:type="pct" w:w="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Actual \ Predicted</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none</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pilot</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partial</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full</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none</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1,559</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pilot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17,186</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2,059</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50</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partial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2,398</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19,554</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1,688</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b/>
                <w:bCs/>
                <w:color w:val="000000"/>
                <w:sz w:val="18"/>
                <w:szCs w:val="18"/>
              </w:rPr>
              <w:t xml:space="preserve">full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10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b w:val="false"/>
                <w:bCs w:val="false"/>
                <w:color w:val="000000"/>
                <w:sz w:val="18"/>
                <w:szCs w:val="18"/>
              </w:rPr>
              <w:t xml:space="preserve">47</w:t>
            </w:r>
          </w:p>
        </w:tc>
        <w:tc>
          <w:tcPr>
            <w:tcBorders>
              <w:top w:val="single" w:color="AAAAAA" w:sz="1"/>
              <w:left w:val="single" w:color="AAAAAA" w:sz="1"/>
              <w:bottom w:val="single" w:color="AAAAAA" w:sz="1"/>
              <w:right w:val="single" w:color="AAAAAA" w:sz="1"/>
            </w:tcBorders>
            <w:shd w:fill="C6EFCE" w:color="C6EFCE" w:val="solid"/>
            <w:tcMar>
              <w:top w:type="dxa" w:w="40"/>
              <w:left w:type="dxa" w:w="80"/>
              <w:bottom w:type="dxa" w:w="40"/>
              <w:right w:type="dxa" w:w="80"/>
            </w:tcMar>
            <w:vAlign w:val="center"/>
          </w:tcPr>
          <w:p>
            <w:pPr>
              <w:spacing w:after="20" w:before="20"/>
              <w:jc w:val="center"/>
            </w:pPr>
            <w:r>
              <w:rPr>
                <w:rFonts w:ascii="Arial" w:cs="Arial" w:eastAsia="Arial" w:hAnsi="Arial"/>
                <w:b/>
                <w:bCs/>
                <w:color w:val="000000"/>
                <w:sz w:val="18"/>
                <w:szCs w:val="18"/>
              </w:rPr>
              <w:t xml:space="preserve">449</w:t>
            </w:r>
          </w:p>
        </w:tc>
      </w:tr>
    </w:tbl>
    <w:p>
      <w:pPr>
        <w:spacing w:after="120" w:before="60"/>
        <w:jc w:val="left"/>
      </w:pPr>
      <w:r>
        <w:rPr>
          <w:rFonts w:ascii="Arial" w:cs="Arial" w:eastAsia="Arial" w:hAnsi="Arial"/>
          <w:sz w:val="20"/>
          <w:szCs w:val="20"/>
        </w:rPr>
        <w:t xml:space="preserve"/>
      </w:r>
    </w:p>
    <w:p>
      <w:pPr>
        <w:spacing w:after="120" w:before="60"/>
        <w:jc w:val="left"/>
      </w:pPr>
      <w:r>
        <w:rPr>
          <w:rFonts w:ascii="Arial" w:cs="Arial" w:eastAsia="Arial" w:hAnsi="Arial"/>
          <w:sz w:val="20"/>
          <w:szCs w:val="20"/>
        </w:rPr>
        <w:t xml:space="preserve">XGBoost achieves the strongest diagonal concentration across all four classes, particularly for the minority 'full' class (449 correct vs. 389 for Decision Tree and 435 for Random Forest).</w:t>
      </w:r>
    </w:p>
    <w:p>
      <w:pPr>
        <w:pStyle w:val="Heading1"/>
        <w:pageBreakBefore/>
        <w:spacing w:after="120" w:before="0"/>
      </w:pPr>
      <w:r>
        <w:rPr>
          <w:rFonts w:ascii="Arial" w:cs="Arial" w:eastAsia="Arial" w:hAnsi="Arial"/>
          <w:b/>
          <w:bCs/>
          <w:color w:val="1F3864"/>
          <w:sz w:val="28"/>
          <w:szCs w:val="28"/>
        </w:rPr>
        <w:t xml:space="preserve">Section 3: Hyperparameter Search Grids</w:t>
      </w:r>
    </w:p>
    <w:p>
      <w:pPr>
        <w:spacing w:after="120" w:before="60"/>
        <w:jc w:val="left"/>
      </w:pPr>
      <w:r>
        <w:rPr>
          <w:rFonts w:ascii="Arial" w:cs="Arial" w:eastAsia="Arial" w:hAnsi="Arial"/>
          <w:sz w:val="20"/>
          <w:szCs w:val="20"/>
        </w:rPr>
        <w:t xml:space="preserve">All models were tuned using exhaustive grid search with stratified cross-validation. The scoring metric was macro-averaged F1 score to account for class imbalance.</w:t>
      </w:r>
    </w:p>
    <w:p>
      <w:pPr>
        <w:pStyle w:val="Heading2"/>
        <w:spacing w:after="100" w:before="200"/>
      </w:pPr>
      <w:r>
        <w:rPr>
          <w:rFonts w:ascii="Arial" w:cs="Arial" w:eastAsia="Arial" w:hAnsi="Arial"/>
          <w:b/>
          <w:bCs/>
          <w:color w:val="2E75B6"/>
          <w:sz w:val="24"/>
          <w:szCs w:val="24"/>
        </w:rPr>
        <w:t xml:space="preserve">3.1 Decision Tree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Parameter</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Search Grid</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Best Value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max_depth</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 5, 7, 9, 11]</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min_samples_leaf</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[10, 20, 50, 100]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10</w:t>
            </w:r>
          </w:p>
        </w:tc>
      </w:tr>
    </w:tbl>
    <w:p>
      <w:pPr>
        <w:spacing w:after="120" w:before="60"/>
        <w:jc w:val="left"/>
      </w:pPr>
      <w:r>
        <w:rPr>
          <w:rFonts w:ascii="Arial" w:cs="Arial" w:eastAsia="Arial" w:hAnsi="Arial"/>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Metric</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Value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Total candidates evaluated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36</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Cross-validation folds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5</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Best CV F1-macro</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0.749</w:t>
            </w:r>
          </w:p>
        </w:tc>
      </w:tr>
    </w:tbl>
    <w:p>
      <w:pPr>
        <w:pStyle w:val="Heading2"/>
        <w:spacing w:after="100" w:before="200"/>
      </w:pPr>
      <w:r>
        <w:rPr>
          <w:rFonts w:ascii="Arial" w:cs="Arial" w:eastAsia="Arial" w:hAnsi="Arial"/>
          <w:b/>
          <w:bCs/>
          <w:color w:val="2E75B6"/>
          <w:sz w:val="24"/>
          <w:szCs w:val="24"/>
        </w:rPr>
        <w:t xml:space="preserve">3.2 Random Forest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Parameter</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Search Grid</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Best Value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max_features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['sqrt', 'log2', 0.1]</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sqrt</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max_depth</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 5, 7, 9]</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9</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min_samples_leaf</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[10, 20, 50]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10</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n_estimators (OOB plateau)</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Incremental (stopped at plateau)</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90</w:t>
            </w:r>
          </w:p>
        </w:tc>
      </w:tr>
    </w:tbl>
    <w:p>
      <w:pPr>
        <w:spacing w:after="120" w:before="60"/>
        <w:jc w:val="left"/>
      </w:pPr>
      <w:r>
        <w:rPr>
          <w:rFonts w:ascii="Arial" w:cs="Arial" w:eastAsia="Arial" w:hAnsi="Arial"/>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Metric</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Value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Total candidates evaluated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36</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Cross-validation folds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Best CV F1-macro</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0.768</w:t>
            </w:r>
          </w:p>
        </w:tc>
      </w:tr>
    </w:tbl>
    <w:p>
      <w:pPr>
        <w:pStyle w:val="Heading2"/>
        <w:spacing w:after="100" w:before="200"/>
      </w:pPr>
      <w:r>
        <w:rPr>
          <w:rFonts w:ascii="Arial" w:cs="Arial" w:eastAsia="Arial" w:hAnsi="Arial"/>
          <w:b/>
          <w:bCs/>
          <w:color w:val="2E75B6"/>
          <w:sz w:val="24"/>
          <w:szCs w:val="24"/>
        </w:rPr>
        <w:t xml:space="preserve">3.3 XGBoost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Parameter</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Search Grid</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Best Value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max_depth</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 5, 7]</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5</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min_child_weight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[10, 20, 50]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50</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subsample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[0.8, 1.0]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1.0</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n_estimators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300 (fixed)</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300</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learning_rate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0.05 (fixed)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0.05</w:t>
            </w:r>
          </w:p>
        </w:tc>
      </w:tr>
    </w:tbl>
    <w:p>
      <w:pPr>
        <w:spacing w:after="120" w:before="60"/>
        <w:jc w:val="left"/>
      </w:pPr>
      <w:r>
        <w:rPr>
          <w:rFonts w:ascii="Arial" w:cs="Arial" w:eastAsia="Arial" w:hAnsi="Arial"/>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Metric</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Value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Total candidates evaluated</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18</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Cross-validation folds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3</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Best CV F1-macro</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0.901</w:t>
            </w:r>
          </w:p>
        </w:tc>
      </w:tr>
    </w:tbl>
    <w:p>
      <w:pPr>
        <w:pStyle w:val="Heading1"/>
        <w:pageBreakBefore/>
        <w:spacing w:after="120" w:before="0"/>
      </w:pPr>
      <w:r>
        <w:rPr>
          <w:rFonts w:ascii="Arial" w:cs="Arial" w:eastAsia="Arial" w:hAnsi="Arial"/>
          <w:b/>
          <w:bCs/>
          <w:color w:val="1F3864"/>
          <w:sz w:val="28"/>
          <w:szCs w:val="28"/>
        </w:rPr>
        <w:t xml:space="preserve">Section 4: Permutation Importance (Top 20 Features)</w:t>
      </w:r>
    </w:p>
    <w:p>
      <w:pPr>
        <w:spacing w:after="120" w:before="60"/>
        <w:jc w:val="left"/>
      </w:pPr>
      <w:r>
        <w:rPr>
          <w:rFonts w:ascii="Arial" w:cs="Arial" w:eastAsia="Arial" w:hAnsi="Arial"/>
          <w:sz w:val="20"/>
          <w:szCs w:val="20"/>
        </w:rPr>
        <w:t xml:space="preserve">Permutation importance was computed on the test set using the best XGBoost model. Each feature was permuted 10 times and the drop in macro-F1 was recorded. The table below shows the top 20 features ranked by mean importance.</w:t>
      </w:r>
    </w:p>
    <w:p>
      <w:pPr>
        <w:spacing w:after="120" w:before="60"/>
        <w:jc w:val="left"/>
      </w:pPr>
      <w:r>
        <w:rPr>
          <w:rFonts w:ascii="Arial" w:cs="Arial" w:eastAsia="Arial" w:hAnsi="Arial"/>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Rank</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Feature</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Importance (Mean)</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Importance (Std)</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ai_maturity_score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0.142</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0.003</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2</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years_using_ai</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0.089</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0.002</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3</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ai_budget_percentage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0.074</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0.002</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4</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ai_training_hours</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0.061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0.002</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5</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ai_failure_rate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0.048</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6</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num_ai_tools_used</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0.041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7</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ai_projects_active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0.038</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8</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ai_investment_per_employee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0.035</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9</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ai_risk_management_score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0.031</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innovation_score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0.028</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11</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regulatory_compliance_score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0.024</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12</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employee_satisfaction_score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0.021</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13</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task_automation_rate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0.019</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14</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productivity_change_percent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0.016</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15</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revenue_growth_percent</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0.014</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16</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company_age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0.012</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17</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num_employees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0.010</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18</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remote_work_percentage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0.008</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19</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customer_satisfaction</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0.007</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20</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cost_reduction_percent</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0.006</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center"/>
            </w:pPr>
            <w:r>
              <w:rPr>
                <w:rFonts w:ascii="Arial" w:cs="Arial" w:eastAsia="Arial" w:hAnsi="Arial"/>
                <w:color w:val="000000"/>
                <w:sz w:val="18"/>
                <w:szCs w:val="18"/>
              </w:rPr>
              <w:t xml:space="preserve">0.001</w:t>
            </w:r>
          </w:p>
        </w:tc>
      </w:tr>
    </w:tbl>
    <w:p>
      <w:pPr>
        <w:spacing w:after="120" w:before="60"/>
        <w:jc w:val="left"/>
      </w:pPr>
      <w:r>
        <w:rPr>
          <w:rFonts w:ascii="Arial" w:cs="Arial" w:eastAsia="Arial" w:hAnsi="Arial"/>
          <w:sz w:val="20"/>
          <w:szCs w:val="20"/>
        </w:rPr>
        <w:t xml:space="preserve"/>
      </w:r>
    </w:p>
    <w:p>
      <w:pPr>
        <w:spacing w:after="120" w:before="60"/>
        <w:jc w:val="left"/>
      </w:pPr>
      <w:r>
        <w:rPr>
          <w:rFonts w:ascii="Arial" w:cs="Arial" w:eastAsia="Arial" w:hAnsi="Arial"/>
          <w:sz w:val="20"/>
          <w:szCs w:val="20"/>
        </w:rPr>
        <w:t xml:space="preserve">ai_maturity_score is the dominant predictor, contributing roughly 60% more importance than the second-ranked feature (years_using_ai). The top 5 features are all direct measures of AI engagement, consistent with domain expectations.</w:t>
      </w:r>
    </w:p>
    <w:p>
      <w:pPr>
        <w:pStyle w:val="Heading1"/>
        <w:pageBreakBefore/>
        <w:spacing w:after="120" w:before="0"/>
      </w:pPr>
      <w:r>
        <w:rPr>
          <w:rFonts w:ascii="Arial" w:cs="Arial" w:eastAsia="Arial" w:hAnsi="Arial"/>
          <w:b/>
          <w:bCs/>
          <w:color w:val="1F3864"/>
          <w:sz w:val="28"/>
          <w:szCs w:val="28"/>
        </w:rPr>
        <w:t xml:space="preserve">Section 5: Quantitative Finance Methodology</w:t>
      </w:r>
    </w:p>
    <w:p>
      <w:pPr>
        <w:spacing w:after="120" w:before="60"/>
        <w:jc w:val="left"/>
      </w:pPr>
      <w:r>
        <w:rPr>
          <w:rFonts w:ascii="Arial" w:cs="Arial" w:eastAsia="Arial" w:hAnsi="Arial"/>
          <w:sz w:val="20"/>
          <w:szCs w:val="20"/>
        </w:rPr>
        <w:t xml:space="preserve">This section documents the seven quantitative finance analyses applied to the AI adoption classification framework. Each subsection describes the method, mathematical formulation, and implementation details.</w:t>
      </w:r>
    </w:p>
    <w:p>
      <w:pPr>
        <w:pStyle w:val="Heading2"/>
        <w:spacing w:after="100" w:before="200"/>
      </w:pPr>
      <w:r>
        <w:rPr>
          <w:rFonts w:ascii="Arial" w:cs="Arial" w:eastAsia="Arial" w:hAnsi="Arial"/>
          <w:b/>
          <w:bCs/>
          <w:color w:val="2E75B6"/>
          <w:sz w:val="24"/>
          <w:szCs w:val="24"/>
        </w:rPr>
        <w:t xml:space="preserve">5.1 Markov Transition Matrix</w:t>
      </w:r>
    </w:p>
    <w:p>
      <w:pPr>
        <w:spacing w:after="120" w:before="60"/>
        <w:jc w:val="left"/>
      </w:pPr>
      <w:r>
        <w:rPr>
          <w:rFonts w:ascii="Arial" w:cs="Arial" w:eastAsia="Arial" w:hAnsi="Arial"/>
          <w:sz w:val="20"/>
          <w:szCs w:val="20"/>
        </w:rPr>
        <w:t xml:space="preserve">The transition probability matrix P is estimated from panel data using company_id as the entity key and quarterly observations as the time index. For each consecutive pair of quarters, transitions between AI adoption stages are counted and normalized row-wise to obtain maximum-likelihood transition probabilities.</w:t>
      </w:r>
    </w:p>
    <w:p>
      <w:pPr>
        <w:spacing w:after="120" w:before="60"/>
        <w:jc w:val="left"/>
      </w:pPr>
      <w:r>
        <w:rPr>
          <w:rFonts w:ascii="Arial" w:cs="Arial" w:eastAsia="Arial" w:hAnsi="Arial"/>
          <w:sz w:val="20"/>
          <w:szCs w:val="20"/>
        </w:rPr>
        <w:t xml:space="preserve">The continuous-time generator matrix Q is computed via the matrix logarithm of P, applying the Israel-Rosenthal-Wei correction to ensure valid generator properties (non-negative off-diagonal entries, zero row sums). The expected absorption time to reach the 'full' adoption state is computed as:</w:t>
      </w:r>
    </w:p>
    <w:p>
      <w:pPr>
        <w:spacing w:after="80" w:before="80"/>
        <w:jc w:val="center"/>
      </w:pPr>
      <w:r>
        <w:rPr>
          <w:rFonts w:ascii="Arial" w:cs="Arial" w:eastAsia="Arial" w:hAnsi="Arial"/>
          <w:b/>
          <w:bCs/>
          <w:sz w:val="20"/>
          <w:szCs w:val="20"/>
        </w:rPr>
        <w:t xml:space="preserve">E[T] = -Q_sub^(-1) * 1</w:t>
      </w:r>
    </w:p>
    <w:p>
      <w:pPr>
        <w:spacing w:after="120" w:before="60"/>
        <w:jc w:val="left"/>
      </w:pPr>
      <w:r>
        <w:rPr>
          <w:rFonts w:ascii="Arial" w:cs="Arial" w:eastAsia="Arial" w:hAnsi="Arial"/>
          <w:sz w:val="20"/>
          <w:szCs w:val="20"/>
        </w:rPr>
        <w:t xml:space="preserve">where Q_sub is the sub-generator matrix excluding the absorbing state, and 1 is a vector of ones.</w:t>
      </w:r>
    </w:p>
    <w:p>
      <w:pPr>
        <w:pStyle w:val="Heading2"/>
        <w:spacing w:after="100" w:before="200"/>
      </w:pPr>
      <w:r>
        <w:rPr>
          <w:rFonts w:ascii="Arial" w:cs="Arial" w:eastAsia="Arial" w:hAnsi="Arial"/>
          <w:b/>
          <w:bCs/>
          <w:color w:val="2E75B6"/>
          <w:sz w:val="24"/>
          <w:szCs w:val="24"/>
        </w:rPr>
        <w:t xml:space="preserve">5.2 Cost-Sensitive Loss</w:t>
      </w:r>
    </w:p>
    <w:p>
      <w:pPr>
        <w:spacing w:after="120" w:before="60"/>
        <w:jc w:val="left"/>
      </w:pPr>
      <w:r>
        <w:rPr>
          <w:rFonts w:ascii="Arial" w:cs="Arial" w:eastAsia="Arial" w:hAnsi="Arial"/>
          <w:sz w:val="20"/>
          <w:szCs w:val="20"/>
        </w:rPr>
        <w:t xml:space="preserve">An asymmetric 4x4 cost matrix C is constructed with ordinal-distance scaling, reflecting the business reality that misclassification costs vary by direction and magnitude. The Expected Misclassification Cost (EMC) is defined as:</w:t>
      </w:r>
    </w:p>
    <w:p>
      <w:pPr>
        <w:spacing w:after="80" w:before="80"/>
        <w:jc w:val="center"/>
      </w:pPr>
      <w:r>
        <w:rPr>
          <w:rFonts w:ascii="Arial" w:cs="Arial" w:eastAsia="Arial" w:hAnsi="Arial"/>
          <w:b/>
          <w:bCs/>
          <w:sz w:val="20"/>
          <w:szCs w:val="20"/>
        </w:rPr>
        <w:t xml:space="preserve">EMC = sum_ij ( C_ij * CM_ij )</w:t>
      </w:r>
    </w:p>
    <w:p>
      <w:pPr>
        <w:spacing w:after="120" w:before="60"/>
        <w:jc w:val="left"/>
      </w:pPr>
      <w:r>
        <w:rPr>
          <w:rFonts w:ascii="Arial" w:cs="Arial" w:eastAsia="Arial" w:hAnsi="Arial"/>
          <w:sz w:val="20"/>
          <w:szCs w:val="20"/>
        </w:rPr>
        <w:t xml:space="preserve">where CM is the confusion matrix. Costs are dollar-justified with the most expensive error being a false classification of 'full' as 'none' at $100,000 per misclassification, and 'none' as 'full' at $80,000. Adjacent-class errors carry proportionally lower costs.</w:t>
      </w:r>
    </w:p>
    <w:p>
      <w:pPr>
        <w:pStyle w:val="Heading2"/>
        <w:spacing w:after="100" w:before="200"/>
      </w:pPr>
      <w:r>
        <w:rPr>
          <w:rFonts w:ascii="Arial" w:cs="Arial" w:eastAsia="Arial" w:hAnsi="Arial"/>
          <w:b/>
          <w:bCs/>
          <w:color w:val="2E75B6"/>
          <w:sz w:val="24"/>
          <w:szCs w:val="24"/>
        </w:rPr>
        <w:t xml:space="preserve">5.3 Model Calibration</w:t>
      </w:r>
    </w:p>
    <w:p>
      <w:pPr>
        <w:spacing w:after="120" w:before="60"/>
        <w:jc w:val="left"/>
      </w:pPr>
      <w:r>
        <w:rPr>
          <w:rFonts w:ascii="Arial" w:cs="Arial" w:eastAsia="Arial" w:hAnsi="Arial"/>
          <w:sz w:val="20"/>
          <w:szCs w:val="20"/>
        </w:rPr>
        <w:t xml:space="preserve">Calibration quality is assessed using the multiclass Brier score:</w:t>
      </w:r>
    </w:p>
    <w:p>
      <w:pPr>
        <w:spacing w:after="80" w:before="80"/>
        <w:jc w:val="center"/>
      </w:pPr>
      <w:r>
        <w:rPr>
          <w:rFonts w:ascii="Arial" w:cs="Arial" w:eastAsia="Arial" w:hAnsi="Arial"/>
          <w:b/>
          <w:bCs/>
          <w:sz w:val="20"/>
          <w:szCs w:val="20"/>
        </w:rPr>
        <w:t xml:space="preserve">BS = (1/N) * sum_i sum_k ( p_ik - y_ik )^2</w:t>
      </w:r>
    </w:p>
    <w:p>
      <w:pPr>
        <w:spacing w:after="120" w:before="60"/>
        <w:jc w:val="left"/>
      </w:pPr>
      <w:r>
        <w:rPr>
          <w:rFonts w:ascii="Arial" w:cs="Arial" w:eastAsia="Arial" w:hAnsi="Arial"/>
          <w:sz w:val="20"/>
          <w:szCs w:val="20"/>
        </w:rPr>
        <w:t xml:space="preserve">Post-hoc calibration is applied using both Platt scaling (logistic sigmoid) and isotonic regression via scikit-learn's CalibratedClassifierCV with cv='prefit'. Reliability diagrams are generated per class to visualize calibration quality before and after correction.</w:t>
      </w:r>
    </w:p>
    <w:p>
      <w:pPr>
        <w:pStyle w:val="Heading2"/>
        <w:spacing w:after="100" w:before="200"/>
      </w:pPr>
      <w:r>
        <w:rPr>
          <w:rFonts w:ascii="Arial" w:cs="Arial" w:eastAsia="Arial" w:hAnsi="Arial"/>
          <w:b/>
          <w:bCs/>
          <w:color w:val="2E75B6"/>
          <w:sz w:val="24"/>
          <w:szCs w:val="24"/>
        </w:rPr>
        <w:t xml:space="preserve">5.4 Portfolio Construction</w:t>
      </w:r>
    </w:p>
    <w:p>
      <w:pPr>
        <w:spacing w:after="120" w:before="60"/>
        <w:jc w:val="left"/>
      </w:pPr>
      <w:r>
        <w:rPr>
          <w:rFonts w:ascii="Arial" w:cs="Arial" w:eastAsia="Arial" w:hAnsi="Arial"/>
          <w:sz w:val="20"/>
          <w:szCs w:val="20"/>
        </w:rPr>
        <w:t xml:space="preserve">AI adoption stages are mapped to annualized returns: none = -5%, pilot = +2%, partial = +8%, full = +20%. The expected return for each company is computed as the dot product of predicted class probabilities and the return vector:</w:t>
      </w:r>
    </w:p>
    <w:p>
      <w:pPr>
        <w:spacing w:after="80" w:before="80"/>
        <w:jc w:val="center"/>
      </w:pPr>
      <w:r>
        <w:rPr>
          <w:rFonts w:ascii="Arial" w:cs="Arial" w:eastAsia="Arial" w:hAnsi="Arial"/>
          <w:b/>
          <w:bCs/>
          <w:sz w:val="20"/>
          <w:szCs w:val="20"/>
        </w:rPr>
        <w:t xml:space="preserve">mu_i = p_i^T * r</w:t>
      </w:r>
    </w:p>
    <w:p>
      <w:pPr>
        <w:spacing w:after="120" w:before="60"/>
        <w:jc w:val="left"/>
      </w:pPr>
      <w:r>
        <w:rPr>
          <w:rFonts w:ascii="Arial" w:cs="Arial" w:eastAsia="Arial" w:hAnsi="Arial"/>
          <w:sz w:val="20"/>
          <w:szCs w:val="20"/>
        </w:rPr>
        <w:t xml:space="preserve">A Markowitz mean-variance efficient frontier is constructed via scipy.optimize.minimize with portfolio weights subject to non-negativity and sum-to-one constraints. The Kelly criterion is applied for position sizing:</w:t>
      </w:r>
    </w:p>
    <w:p>
      <w:pPr>
        <w:spacing w:after="80" w:before="80"/>
        <w:jc w:val="center"/>
      </w:pPr>
      <w:r>
        <w:rPr>
          <w:rFonts w:ascii="Arial" w:cs="Arial" w:eastAsia="Arial" w:hAnsi="Arial"/>
          <w:b/>
          <w:bCs/>
          <w:sz w:val="20"/>
          <w:szCs w:val="20"/>
        </w:rPr>
        <w:t xml:space="preserve">f* = p - (1 - p) / b</w:t>
      </w:r>
    </w:p>
    <w:p>
      <w:pPr>
        <w:spacing w:after="120" w:before="60"/>
        <w:jc w:val="left"/>
      </w:pPr>
      <w:r>
        <w:rPr>
          <w:rFonts w:ascii="Arial" w:cs="Arial" w:eastAsia="Arial" w:hAnsi="Arial"/>
          <w:sz w:val="20"/>
          <w:szCs w:val="20"/>
        </w:rPr>
        <w:t xml:space="preserve">where p is the probability of a positive outcome and b is the odds ratio.</w:t>
      </w:r>
    </w:p>
    <w:p>
      <w:pPr>
        <w:pStyle w:val="Heading2"/>
        <w:spacing w:after="100" w:before="200"/>
      </w:pPr>
      <w:r>
        <w:rPr>
          <w:rFonts w:ascii="Arial" w:cs="Arial" w:eastAsia="Arial" w:hAnsi="Arial"/>
          <w:b/>
          <w:bCs/>
          <w:color w:val="2E75B6"/>
          <w:sz w:val="24"/>
          <w:szCs w:val="24"/>
        </w:rPr>
        <w:t xml:space="preserve">5.5 Risk Metrics</w:t>
      </w:r>
    </w:p>
    <w:p>
      <w:pPr>
        <w:spacing w:after="120" w:before="60"/>
        <w:jc w:val="left"/>
      </w:pPr>
      <w:r>
        <w:rPr>
          <w:rFonts w:ascii="Arial" w:cs="Arial" w:eastAsia="Arial" w:hAnsi="Arial"/>
          <w:sz w:val="20"/>
          <w:szCs w:val="20"/>
        </w:rPr>
        <w:t xml:space="preserve">Model uncertainty is quantified via bootstrap resampling (1,000 iterations) of the test set. For each bootstrap sample, macro-F1 is computed, yielding a distribution of performance estimates. Risk metrics are derived as:</w:t>
      </w:r>
    </w:p>
    <w:p>
      <w:pPr>
        <w:spacing w:after="40" w:before="40"/>
        <w:jc w:val="center"/>
      </w:pPr>
      <w:r>
        <w:rPr>
          <w:rFonts w:ascii="Arial" w:cs="Arial" w:eastAsia="Arial" w:hAnsi="Arial"/>
          <w:b/>
          <w:bCs/>
          <w:sz w:val="20"/>
          <w:szCs w:val="20"/>
        </w:rPr>
        <w:t xml:space="preserve">VaR(5%) = 5th percentile of F1 distribution</w:t>
      </w:r>
    </w:p>
    <w:p>
      <w:pPr>
        <w:spacing w:after="80" w:before="40"/>
        <w:jc w:val="center"/>
      </w:pPr>
      <w:r>
        <w:rPr>
          <w:rFonts w:ascii="Arial" w:cs="Arial" w:eastAsia="Arial" w:hAnsi="Arial"/>
          <w:b/>
          <w:bCs/>
          <w:sz w:val="20"/>
          <w:szCs w:val="20"/>
        </w:rPr>
        <w:t xml:space="preserve">CVaR(5%) = E[F1 | F1 &lt;= VaR(5%)]</w:t>
      </w:r>
    </w:p>
    <w:p>
      <w:pPr>
        <w:spacing w:after="120" w:before="60"/>
        <w:jc w:val="left"/>
      </w:pPr>
      <w:r>
        <w:rPr>
          <w:rFonts w:ascii="Arial" w:cs="Arial" w:eastAsia="Arial" w:hAnsi="Arial"/>
          <w:sz w:val="20"/>
          <w:szCs w:val="20"/>
        </w:rPr>
        <w:t xml:space="preserve">Split-conformal prediction sets are constructed with a 90% coverage guarantee, providing per-sample prediction intervals that adapt to local difficulty.</w:t>
      </w:r>
    </w:p>
    <w:p>
      <w:pPr>
        <w:pStyle w:val="Heading2"/>
        <w:spacing w:after="100" w:before="200"/>
      </w:pPr>
      <w:r>
        <w:rPr>
          <w:rFonts w:ascii="Arial" w:cs="Arial" w:eastAsia="Arial" w:hAnsi="Arial"/>
          <w:b/>
          <w:bCs/>
          <w:color w:val="2E75B6"/>
          <w:sz w:val="24"/>
          <w:szCs w:val="24"/>
        </w:rPr>
        <w:t xml:space="preserve">5.6 Survival Analysis</w:t>
      </w:r>
    </w:p>
    <w:p>
      <w:pPr>
        <w:spacing w:after="120" w:before="60"/>
        <w:jc w:val="left"/>
      </w:pPr>
      <w:r>
        <w:rPr>
          <w:rFonts w:ascii="Arial" w:cs="Arial" w:eastAsia="Arial" w:hAnsi="Arial"/>
          <w:sz w:val="20"/>
          <w:szCs w:val="20"/>
        </w:rPr>
        <w:t xml:space="preserve">A company-level survival DataFrame is constructed where duration equals the number of quarters until full AI adoption, and the event indicator flags whether the company reached the 'full' stage during the observation window. Kaplan-Meier survival curves are estimated and stratified by industry sector. Hazard ratios are approximated via a logistic regression proxy model using industry and company size as covariates.</w:t>
      </w:r>
    </w:p>
    <w:p>
      <w:pPr>
        <w:pStyle w:val="Heading2"/>
        <w:spacing w:after="100" w:before="200"/>
      </w:pPr>
      <w:r>
        <w:rPr>
          <w:rFonts w:ascii="Arial" w:cs="Arial" w:eastAsia="Arial" w:hAnsi="Arial"/>
          <w:b/>
          <w:bCs/>
          <w:color w:val="2E75B6"/>
          <w:sz w:val="24"/>
          <w:szCs w:val="24"/>
        </w:rPr>
        <w:t xml:space="preserve">5.7 Bayesian Model Averaging</w:t>
      </w:r>
    </w:p>
    <w:p>
      <w:pPr>
        <w:spacing w:after="120" w:before="60"/>
        <w:jc w:val="left"/>
      </w:pPr>
      <w:r>
        <w:rPr>
          <w:rFonts w:ascii="Arial" w:cs="Arial" w:eastAsia="Arial" w:hAnsi="Arial"/>
          <w:sz w:val="20"/>
          <w:szCs w:val="20"/>
        </w:rPr>
        <w:t xml:space="preserve">Model weights are derived from the Bayesian Information Criterion:</w:t>
      </w:r>
    </w:p>
    <w:p>
      <w:pPr>
        <w:spacing w:after="40" w:before="80"/>
        <w:jc w:val="center"/>
      </w:pPr>
      <w:r>
        <w:rPr>
          <w:rFonts w:ascii="Arial" w:cs="Arial" w:eastAsia="Arial" w:hAnsi="Arial"/>
          <w:b/>
          <w:bCs/>
          <w:sz w:val="20"/>
          <w:szCs w:val="20"/>
        </w:rPr>
        <w:t xml:space="preserve">BIC_k = k * ln(n) - 2 * ln(L_k)</w:t>
      </w:r>
    </w:p>
    <w:p>
      <w:pPr>
        <w:spacing w:after="120" w:before="60"/>
        <w:jc w:val="left"/>
      </w:pPr>
      <w:r>
        <w:rPr>
          <w:rFonts w:ascii="Arial" w:cs="Arial" w:eastAsia="Arial" w:hAnsi="Arial"/>
          <w:sz w:val="20"/>
          <w:szCs w:val="20"/>
        </w:rPr>
        <w:t xml:space="preserve">Posterior model weights are computed as:</w:t>
      </w:r>
    </w:p>
    <w:p>
      <w:pPr>
        <w:spacing w:after="80" w:before="40"/>
        <w:jc w:val="center"/>
      </w:pPr>
      <w:r>
        <w:rPr>
          <w:rFonts w:ascii="Arial" w:cs="Arial" w:eastAsia="Arial" w:hAnsi="Arial"/>
          <w:b/>
          <w:bCs/>
          <w:sz w:val="20"/>
          <w:szCs w:val="20"/>
        </w:rPr>
        <w:t xml:space="preserve">w_k = exp(-BIC_k / 2) / sum_j exp(-BIC_j / 2)</w:t>
      </w:r>
    </w:p>
    <w:p>
      <w:pPr>
        <w:spacing w:after="120" w:before="60"/>
        <w:jc w:val="left"/>
      </w:pPr>
      <w:r>
        <w:rPr>
          <w:rFonts w:ascii="Arial" w:cs="Arial" w:eastAsia="Arial" w:hAnsi="Arial"/>
          <w:sz w:val="20"/>
          <w:szCs w:val="20"/>
        </w:rPr>
        <w:t xml:space="preserve">BMA predictions are the weighted average of aligned probability matrices from all three models (Decision Tree, Random Forest, XGBoost), yielding a combined probabilistic forecast that accounts for model uncertainty.</w:t>
      </w:r>
    </w:p>
    <w:p>
      <w:pPr>
        <w:pStyle w:val="Heading1"/>
        <w:pageBreakBefore/>
        <w:spacing w:after="120" w:before="0"/>
      </w:pPr>
      <w:r>
        <w:rPr>
          <w:rFonts w:ascii="Arial" w:cs="Arial" w:eastAsia="Arial" w:hAnsi="Arial"/>
          <w:b/>
          <w:bCs/>
          <w:color w:val="1F3864"/>
          <w:sz w:val="28"/>
          <w:szCs w:val="28"/>
        </w:rPr>
        <w:t xml:space="preserve">Section 6: Streamlit App Architecture</w:t>
      </w:r>
    </w:p>
    <w:p>
      <w:pPr>
        <w:spacing w:after="120" w:before="60"/>
        <w:jc w:val="left"/>
      </w:pPr>
      <w:r>
        <w:rPr>
          <w:rFonts w:ascii="Arial" w:cs="Arial" w:eastAsia="Arial" w:hAnsi="Arial"/>
          <w:sz w:val="20"/>
          <w:szCs w:val="20"/>
        </w:rPr>
        <w:t xml:space="preserve">The interactive Streamlit application serves as the primary delivery mechanism for all analytical results and provides a live inference capability for stakeholders.</w:t>
      </w:r>
    </w:p>
    <w:p>
      <w:pPr>
        <w:pStyle w:val="Heading2"/>
        <w:spacing w:after="100" w:before="200"/>
      </w:pPr>
      <w:r>
        <w:rPr>
          <w:rFonts w:ascii="Arial" w:cs="Arial" w:eastAsia="Arial" w:hAnsi="Arial"/>
          <w:b/>
          <w:bCs/>
          <w:color w:val="2E75B6"/>
          <w:sz w:val="24"/>
          <w:szCs w:val="24"/>
        </w:rPr>
        <w:t xml:space="preserve">6.1 Application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Component</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Details</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Total tabs</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7 (Overview, EDA, Models, Live Predictor, Findings, PE/VC Alpha, Quantitative Finance)</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Inference engine</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Real-time XGBoost prediction with SHAP waterfall explanations</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Visualization library</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Plotly with dark glassmorphism theme</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Deployment URL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https://ai-adoption-predictor.streamlit.app/</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Codebase</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2,969 lines of Python (app.py)</w:t>
            </w:r>
          </w:p>
        </w:tc>
      </w:tr>
    </w:tbl>
    <w:p>
      <w:pPr>
        <w:pStyle w:val="Heading2"/>
        <w:spacing w:after="100" w:before="200"/>
      </w:pPr>
      <w:r>
        <w:rPr>
          <w:rFonts w:ascii="Arial" w:cs="Arial" w:eastAsia="Arial" w:hAnsi="Arial"/>
          <w:b/>
          <w:bCs/>
          <w:color w:val="2E75B6"/>
          <w:sz w:val="24"/>
          <w:szCs w:val="24"/>
        </w:rPr>
        <w:t xml:space="preserve">6.2 Model Artifacts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Artifact</w:t>
            </w:r>
          </w:p>
        </w:tc>
        <w:tc>
          <w:tcPr>
            <w:tcBorders>
              <w:top w:val="single" w:color="AAAAAA" w:sz="1"/>
              <w:left w:val="single" w:color="AAAAAA" w:sz="1"/>
              <w:bottom w:val="single" w:color="AAAAAA" w:sz="1"/>
              <w:right w:val="single" w:color="AAAAAA" w:sz="1"/>
            </w:tcBorders>
            <w:shd w:fill="1F3864" w:color="1F3864" w:val="solid"/>
            <w:tcMar>
              <w:top w:type="dxa" w:w="40"/>
              <w:left w:type="dxa" w:w="80"/>
              <w:bottom w:type="dxa" w:w="40"/>
              <w:right w:type="dxa" w:w="80"/>
            </w:tcMar>
            <w:vAlign w:val="center"/>
          </w:tcPr>
          <w:p>
            <w:pPr>
              <w:spacing w:after="20" w:before="20"/>
              <w:jc w:val="left"/>
            </w:pPr>
            <w:r>
              <w:rPr>
                <w:rFonts w:ascii="Arial" w:cs="Arial" w:eastAsia="Arial" w:hAnsi="Arial"/>
                <w:b/>
                <w:bCs/>
                <w:color w:val="FFFFFF"/>
                <w:sz w:val="18"/>
                <w:szCs w:val="18"/>
              </w:rPr>
              <w:t xml:space="preserve">Description</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dt_model.pkl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Trained Decision Tree classifier</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rf_model.pkl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Trained Random Forest classifier</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xgb_model.pkl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Trained XGBoost classifier</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label_encoder.pkl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Fitted LabelEncoder for target variable</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feature_columns.pkl</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Ordered list of feature column names</w:t>
            </w:r>
          </w:p>
        </w:tc>
      </w:tr>
      <w:tr>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preprocessor.pkl</w:t>
            </w:r>
          </w:p>
        </w:tc>
        <w:tc>
          <w:tcPr>
            <w:tcBorders>
              <w:top w:val="single" w:color="AAAAAA" w:sz="1"/>
              <w:left w:val="single" w:color="AAAAAA" w:sz="1"/>
              <w:bottom w:val="single" w:color="AAAAAA" w:sz="1"/>
              <w:right w:val="single" w:color="AAAAAA" w:sz="1"/>
            </w:tcBorders>
            <w:shd w:fill="D6E4F0" w:color="D6E4F0" w:val="solid"/>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Fitted ColumnTransformer (scaling + encoding)</w:t>
            </w:r>
          </w:p>
        </w:tc>
      </w:tr>
      <w:tr>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df_perm.csv</w:t>
            </w:r>
          </w:p>
        </w:tc>
        <w:tc>
          <w:tcPr>
            <w:tcBorders>
              <w:top w:val="single" w:color="AAAAAA" w:sz="1"/>
              <w:left w:val="single" w:color="AAAAAA" w:sz="1"/>
              <w:bottom w:val="single" w:color="AAAAAA" w:sz="1"/>
              <w:right w:val="single" w:color="AAAAAA" w:sz="1"/>
            </w:tcBorders>
            <w:tcMar>
              <w:top w:type="dxa" w:w="40"/>
              <w:left w:type="dxa" w:w="80"/>
              <w:bottom w:type="dxa" w:w="40"/>
              <w:right w:type="dxa" w:w="80"/>
            </w:tcMar>
            <w:vAlign w:val="center"/>
          </w:tcPr>
          <w:p>
            <w:pPr>
              <w:spacing w:after="20" w:before="20"/>
              <w:jc w:val="left"/>
            </w:pPr>
            <w:r>
              <w:rPr>
                <w:rFonts w:ascii="Arial" w:cs="Arial" w:eastAsia="Arial" w:hAnsi="Arial"/>
                <w:color w:val="000000"/>
                <w:sz w:val="18"/>
                <w:szCs w:val="18"/>
              </w:rPr>
              <w:t xml:space="preserve">Permutation importance results table</w:t>
            </w:r>
          </w:p>
        </w:tc>
      </w:tr>
    </w:tbl>
    <w:p>
      <w:pPr>
        <w:pStyle w:val="Heading2"/>
        <w:spacing w:after="100" w:before="200"/>
      </w:pPr>
      <w:r>
        <w:rPr>
          <w:rFonts w:ascii="Arial" w:cs="Arial" w:eastAsia="Arial" w:hAnsi="Arial"/>
          <w:b/>
          <w:bCs/>
          <w:color w:val="2E75B6"/>
          <w:sz w:val="24"/>
          <w:szCs w:val="24"/>
        </w:rPr>
        <w:t xml:space="preserve">6.3 Key Features</w:t>
      </w:r>
    </w:p>
    <w:p>
      <w:pPr>
        <w:spacing w:after="120" w:before="60"/>
        <w:jc w:val="left"/>
      </w:pPr>
      <w:r>
        <w:rPr>
          <w:rFonts w:ascii="Arial" w:cs="Arial" w:eastAsia="Arial" w:hAnsi="Arial"/>
          <w:sz w:val="20"/>
          <w:szCs w:val="20"/>
        </w:rPr>
        <w:t xml:space="preserve">The application includes the following capabilities:</w:t>
      </w:r>
    </w:p>
    <w:p>
      <w:pPr>
        <w:spacing w:after="120" w:before="60"/>
        <w:jc w:val="left"/>
      </w:pPr>
      <w:r>
        <w:rPr>
          <w:rFonts w:ascii="Arial" w:cs="Arial" w:eastAsia="Arial" w:hAnsi="Arial"/>
          <w:sz w:val="20"/>
          <w:szCs w:val="20"/>
        </w:rPr>
        <w:t xml:space="preserve">- Interactive EDA with filterable visualizations across all 43 variables</w:t>
      </w:r>
    </w:p>
    <w:p>
      <w:pPr>
        <w:spacing w:after="120" w:before="60"/>
        <w:jc w:val="left"/>
      </w:pPr>
      <w:r>
        <w:rPr>
          <w:rFonts w:ascii="Arial" w:cs="Arial" w:eastAsia="Arial" w:hAnsi="Arial"/>
          <w:sz w:val="20"/>
          <w:szCs w:val="20"/>
        </w:rPr>
        <w:t xml:space="preserve">- Side-by-side model comparison with confusion matrices and classification reports</w:t>
      </w:r>
    </w:p>
    <w:p>
      <w:pPr>
        <w:spacing w:after="120" w:before="60"/>
        <w:jc w:val="left"/>
      </w:pPr>
      <w:r>
        <w:rPr>
          <w:rFonts w:ascii="Arial" w:cs="Arial" w:eastAsia="Arial" w:hAnsi="Arial"/>
          <w:sz w:val="20"/>
          <w:szCs w:val="20"/>
        </w:rPr>
        <w:t xml:space="preserve">- Live predictor allowing users to input company characteristics and receive real-time AI adoption stage predictions with SHAP-based feature attribution</w:t>
      </w:r>
    </w:p>
    <w:p>
      <w:pPr>
        <w:spacing w:after="120" w:before="60"/>
        <w:jc w:val="left"/>
      </w:pPr>
      <w:r>
        <w:rPr>
          <w:rFonts w:ascii="Arial" w:cs="Arial" w:eastAsia="Arial" w:hAnsi="Arial"/>
          <w:sz w:val="20"/>
          <w:szCs w:val="20"/>
        </w:rPr>
        <w:t xml:space="preserve">- PE/VC Alpha tab translating model outputs into investment-grade signals</w:t>
      </w:r>
    </w:p>
    <w:p>
      <w:pPr>
        <w:spacing w:after="120" w:before="60"/>
        <w:jc w:val="left"/>
      </w:pPr>
      <w:r>
        <w:rPr>
          <w:rFonts w:ascii="Arial" w:cs="Arial" w:eastAsia="Arial" w:hAnsi="Arial"/>
          <w:sz w:val="20"/>
          <w:szCs w:val="20"/>
        </w:rPr>
        <w:t xml:space="preserve">- Quantitative Finance tab presenting Markov chains, portfolio optimization, survival analysis, and Bayesian model averaging results</w:t>
      </w:r>
    </w:p>
    <w:p>
      <w:pPr>
        <w:spacing w:after="120" w:before="60"/>
        <w:jc w:val="left"/>
      </w:pPr>
      <w:r>
        <w:rPr>
          <w:rFonts w:ascii="Arial" w:cs="Arial" w:eastAsia="Arial" w:hAnsi="Arial"/>
          <w:sz w:val="20"/>
          <w:szCs w:val="20"/>
        </w:rPr>
        <w:t xml:space="preserve"/>
      </w:r>
    </w:p>
    <w:p>
      <w:pPr>
        <w:pBdr>
          <w:bottom w:val="single" w:color="2E75B6" w:sz="2"/>
        </w:pBdr>
        <w:spacing w:after="200"/>
      </w:pPr>
    </w:p>
    <w:p>
      <w:pPr>
        <w:spacing w:after="120" w:before="60"/>
        <w:jc w:val="center"/>
      </w:pPr>
      <w:r>
        <w:rPr>
          <w:rFonts w:ascii="Arial" w:cs="Arial" w:eastAsia="Arial" w:hAnsi="Arial"/>
          <w:i/>
          <w:iCs/>
          <w:color w:val="888888"/>
          <w:sz w:val="20"/>
          <w:szCs w:val="20"/>
        </w:rPr>
        <w:t xml:space="preserve">End of Technical Annex</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spacing w:after="0"/>
      <w:jc w:val="right"/>
    </w:pPr>
    <w:r>
      <w:rPr>
        <w:rFonts w:ascii="Arial" w:cs="Arial" w:eastAsia="Arial" w:hAnsi="Arial"/>
        <w:i/>
        <w:iCs/>
        <w:color w:val="666666"/>
        <w:sz w:val="16"/>
        <w:szCs w:val="16"/>
      </w:rPr>
      <w:t xml:space="preserve">Technical Annex | Group 3 | MBDS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F3864"/>
      <w:sz w:val="28"/>
      <w:szCs w:val="28"/>
    </w:rPr>
  </w:style>
  <w:style w:type="paragraph" w:styleId="Heading2">
    <w:name w:val="Heading 2"/>
    <w:basedOn w:val="Normal"/>
    <w:next w:val="Normal"/>
    <w:qFormat/>
    <w:rPr>
      <w:rFonts w:ascii="Arial" w:cs="Arial" w:eastAsia="Arial" w:hAnsi="Arial"/>
      <w:b/>
      <w:bCs/>
      <w:color w:val="2E75B6"/>
      <w:sz w:val="24"/>
      <w:szCs w:val="24"/>
    </w:rPr>
  </w:style>
  <w:style w:type="paragraph" w:styleId="Heading3">
    <w:name w:val="Heading 3"/>
    <w:basedOn w:val="Normal"/>
    <w:next w:val="Normal"/>
    <w:qFormat/>
    <w:rPr>
      <w:rFonts w:ascii="Arial" w:cs="Arial" w:eastAsia="Arial" w:hAnsi="Arial"/>
      <w:b/>
      <w:bCs/>
      <w:color w:val="2E75B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2026-03-23T21:30:13.813Z</dcterms:created>
  <dcterms:modified xsi:type="dcterms:W3CDTF">2026-03-23T21:30:13.814Z</dcterms:modified>
</cp:coreProperties>
</file>

<file path=docProps/custom.xml><?xml version="1.0" encoding="utf-8"?>
<Properties xmlns="http://schemas.openxmlformats.org/officeDocument/2006/custom-properties" xmlns:vt="http://schemas.openxmlformats.org/officeDocument/2006/docPropsVTypes"/>
</file>