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2E"/>
          <w:sz w:val="40"/>
          <w:szCs w:val="40"/>
        </w:rPr>
        <w:t xml:space="preserve">Trading System Automation</w:t>
      </w:r>
    </w:p>
    <w:p>
      <w:pPr>
        <w:spacing w:after="60"/>
      </w:pPr>
      <w:r>
        <w:rPr>
          <w:rFonts w:ascii="Arial" w:cs="Arial" w:eastAsia="Arial" w:hAnsi="Arial"/>
          <w:color w:val="0F3460"/>
          <w:sz w:val="28"/>
          <w:szCs w:val="28"/>
        </w:rPr>
        <w:t xml:space="preserve">Executive Summary</w:t>
      </w:r>
    </w:p>
    <w:p>
      <w:pPr>
        <w:spacing w:after="120"/>
      </w:pPr>
      <w:r>
        <w:rPr>
          <w:rFonts w:ascii="Arial" w:cs="Arial" w:eastAsia="Arial" w:hAnsi="Arial"/>
          <w:color w:val="555555"/>
          <w:sz w:val="20"/>
          <w:szCs w:val="20"/>
        </w:rPr>
        <w:t xml:space="preserve">Master in Big Data and Data Science (MBDS 2026)  •  March 2026</w:t>
      </w:r>
    </w:p>
    <w:p>
      <w:pPr>
        <w:spacing w:after="60"/>
      </w:pPr>
      <w:r>
        <w:rPr>
          <w:rFonts w:ascii="Arial" w:cs="Arial" w:eastAsia="Arial" w:hAnsi="Arial"/>
          <w:sz w:val="19"/>
          <w:szCs w:val="19"/>
        </w:rPr>
        <w:t xml:space="preserve">Live app: </w:t>
      </w:r>
      <w:hyperlink w:history="1" r:id="rIdgpeqtggbqf2ianzp9mulx">
        <w:r>
          <w:rPr>
            <w:rFonts w:ascii="Arial" w:cs="Arial" w:eastAsia="Arial" w:hAnsi="Arial"/>
            <w:color w:val="1565C0"/>
            <w:sz w:val="19"/>
            <w:szCs w:val="19"/>
            <w:u w:val="single"/>
          </w:rPr>
          <w:t xml:space="preserve">pythongroupassignment.streamlit.app</w:t>
        </w:r>
      </w:hyperlink>
    </w:p>
    <w:p>
      <w:pPr>
        <w:spacing w:after="240"/>
      </w:pPr>
      <w:r>
        <w:rPr>
          <w:rFonts w:ascii="Arial" w:cs="Arial" w:eastAsia="Arial" w:hAnsi="Arial"/>
          <w:sz w:val="19"/>
          <w:szCs w:val="19"/>
        </w:rPr>
        <w:t xml:space="preserve">Repository: </w:t>
      </w:r>
      <w:hyperlink w:history="1" r:id="rIdwxqhishzpa0mg80s99z9f">
        <w:r>
          <w:rPr>
            <w:rFonts w:ascii="Arial" w:cs="Arial" w:eastAsia="Arial" w:hAnsi="Arial"/>
            <w:color w:val="1565C0"/>
            <w:sz w:val="19"/>
            <w:szCs w:val="19"/>
            <w:u w:val="single"/>
          </w:rPr>
          <w:t xml:space="preserve">github.com/MarianGarabana/TradingSystemAutomation</w:t>
        </w:r>
      </w:hyperlink>
    </w:p>
    <w:p>
      <w:pPr>
        <w:pBdr>
          <w:bottom w:val="single" w:color="CCCCCC" w:sz="4" w:space="1"/>
        </w:pBdr>
        <w:spacing w:after="200"/>
      </w:pPr>
    </w:p>
    <w:p>
      <w:pPr>
        <w:pStyle w:val="Heading1"/>
        <w:spacing w:before="360" w:after="160"/>
      </w:pPr>
      <w:r>
        <w:rPr>
          <w:rFonts w:ascii="Arial" w:cs="Arial" w:eastAsia="Arial" w:hAnsi="Arial"/>
          <w:b/>
          <w:bCs/>
          <w:color w:val="0F3460"/>
          <w:sz w:val="26"/>
          <w:szCs w:val="26"/>
        </w:rPr>
        <w:t xml:space="preserve">1. What We Built</w:t>
      </w:r>
    </w:p>
    <w:p>
      <w:pPr>
        <w:spacing w:after="160" w:line="276"/>
        <w:jc w:val="both"/>
      </w:pPr>
      <w:r>
        <w:rPr>
          <w:rFonts w:ascii="Arial" w:cs="Arial" w:eastAsia="Arial" w:hAnsi="Arial"/>
          <w:sz w:val="19"/>
          <w:szCs w:val="19"/>
        </w:rPr>
        <w:t xml:space="preserve">We built an end-to-end automated trading system entirely in Python. It downloads historical financial data, trains a machine-learning model to predict whether each stock will go up or down the next day, and presents live predictions through an interactive web application. The system covers 31 US large-cap stocks across technology, finance, healthcare, consumer goods, and other sectors. The web app is publicly deployed and accessible without any local installation.</w:t>
      </w:r>
    </w:p>
    <w:p>
      <w:pPr>
        <w:spacing w:after="160" w:line="276"/>
        <w:jc w:val="both"/>
      </w:pPr>
      <w:r>
        <w:rPr>
          <w:rFonts w:ascii="Arial" w:cs="Arial" w:eastAsia="Arial" w:hAnsi="Arial"/>
          <w:sz w:val="19"/>
          <w:szCs w:val="19"/>
        </w:rPr>
        <w:t xml:space="preserve">The project operates in two phases. In the </w:t>
      </w:r>
      <w:r>
        <w:rPr>
          <w:rFonts w:ascii="Arial" w:cs="Arial" w:eastAsia="Arial" w:hAnsi="Arial"/>
          <w:b/>
          <w:bCs/>
          <w:sz w:val="19"/>
          <w:szCs w:val="19"/>
        </w:rPr>
        <w:t xml:space="preserve">offline phase</w:t>
      </w:r>
      <w:r>
        <w:rPr>
          <w:rFonts w:ascii="Arial" w:cs="Arial" w:eastAsia="Arial" w:hAnsi="Arial"/>
          <w:sz w:val="19"/>
          <w:szCs w:val="19"/>
        </w:rPr>
        <w:t xml:space="preserve">, we download bulk data, clean and transform it, engineer predictive features, and train the model—all run locally. In the </w:t>
      </w:r>
      <w:r>
        <w:rPr>
          <w:rFonts w:ascii="Arial" w:cs="Arial" w:eastAsia="Arial" w:hAnsi="Arial"/>
          <w:b/>
          <w:bCs/>
          <w:sz w:val="19"/>
          <w:szCs w:val="19"/>
        </w:rPr>
        <w:t xml:space="preserve">online phase</w:t>
      </w:r>
      <w:r>
        <w:rPr>
          <w:rFonts w:ascii="Arial" w:cs="Arial" w:eastAsia="Arial" w:hAnsi="Arial"/>
          <w:sz w:val="19"/>
          <w:szCs w:val="19"/>
        </w:rPr>
        <w:t xml:space="preserve">, the Streamlit web app fetches fresh data from the SimFin API, applies the same transformations, and feeds it into the trained model to generate live BUY, SELL, or HOLD signals. Keeping the feature calculations identical across both phases was one of the most important engineering decisions in the project.</w:t>
      </w:r>
    </w:p>
    <w:p>
      <w:pPr>
        <w:pStyle w:val="Heading1"/>
        <w:spacing w:before="360" w:after="160"/>
      </w:pPr>
      <w:r>
        <w:rPr>
          <w:rFonts w:ascii="Arial" w:cs="Arial" w:eastAsia="Arial" w:hAnsi="Arial"/>
          <w:b/>
          <w:bCs/>
          <w:color w:val="0F3460"/>
          <w:sz w:val="26"/>
          <w:szCs w:val="26"/>
        </w:rPr>
        <w:t xml:space="preserve">2. Data Sources</w:t>
      </w:r>
    </w:p>
    <w:p>
      <w:pPr>
        <w:spacing w:after="160" w:line="276"/>
        <w:jc w:val="both"/>
      </w:pPr>
      <w:r>
        <w:rPr>
          <w:rFonts w:ascii="Arial" w:cs="Arial" w:eastAsia="Arial" w:hAnsi="Arial"/>
          <w:sz w:val="19"/>
          <w:szCs w:val="19"/>
        </w:rPr>
        <w:t xml:space="preserve">All financial data comes from </w:t>
      </w:r>
      <w:r>
        <w:rPr>
          <w:rFonts w:ascii="Arial" w:cs="Arial" w:eastAsia="Arial" w:hAnsi="Arial"/>
          <w:b/>
          <w:bCs/>
          <w:sz w:val="19"/>
          <w:szCs w:val="19"/>
        </w:rPr>
        <w:t xml:space="preserve">SimFin</w:t>
      </w:r>
      <w:r>
        <w:rPr>
          <w:rFonts w:ascii="Arial" w:cs="Arial" w:eastAsia="Arial" w:hAnsi="Arial"/>
          <w:sz w:val="19"/>
          <w:szCs w:val="19"/>
        </w:rPr>
        <w:t xml:space="preserve"> (Simple Financials), a platform that provides free access to structured financial data for publicly traded companies. We used two access methods:</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Bulk CSV download</w:t>
      </w:r>
      <w:r>
        <w:rPr>
          <w:rFonts w:ascii="Arial" w:cs="Arial" w:eastAsia="Arial" w:hAnsi="Arial"/>
          <w:sz w:val="19"/>
          <w:szCs w:val="19"/>
        </w:rPr>
        <w:t xml:space="preserve"> (offline phase): five years of daily share prices for all US-listed companies, plus quarterly income statements, balance sheets, and cash-flow reports. These files provided the historical depth needed to train the model.</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REST API</w:t>
      </w:r>
      <w:r>
        <w:rPr>
          <w:rFonts w:ascii="Arial" w:cs="Arial" w:eastAsia="Arial" w:hAnsi="Arial"/>
          <w:sz w:val="19"/>
          <w:szCs w:val="19"/>
        </w:rPr>
        <w:t xml:space="preserve"> (online phase): the same data accessed programmatically in near-real-time, with a rate limit of two requests per second on the free tier. Our API wrapper handles authentication, throttling, and error recovery automatically.</w:t>
      </w:r>
    </w:p>
    <w:p>
      <w:pPr>
        <w:pStyle w:val="Heading1"/>
        <w:spacing w:before="360" w:after="160"/>
      </w:pPr>
      <w:r>
        <w:rPr>
          <w:rFonts w:ascii="Arial" w:cs="Arial" w:eastAsia="Arial" w:hAnsi="Arial"/>
          <w:b/>
          <w:bCs/>
          <w:color w:val="0F3460"/>
          <w:sz w:val="26"/>
          <w:szCs w:val="26"/>
        </w:rPr>
        <w:t xml:space="preserve">3. Our Approach</w:t>
      </w:r>
    </w:p>
    <w:p>
      <w:pPr>
        <w:pStyle w:val="Heading2"/>
        <w:spacing w:before="240" w:after="120"/>
      </w:pPr>
      <w:r>
        <w:rPr>
          <w:rFonts w:ascii="Arial" w:cs="Arial" w:eastAsia="Arial" w:hAnsi="Arial"/>
          <w:b/>
          <w:bCs/>
          <w:sz w:val="22"/>
          <w:szCs w:val="22"/>
        </w:rPr>
        <w:t xml:space="preserve">3.1  Data Processing (ETL Pipeline)</w:t>
      </w:r>
    </w:p>
    <w:p>
      <w:pPr>
        <w:spacing w:after="160" w:line="276"/>
        <w:jc w:val="both"/>
      </w:pPr>
      <w:r>
        <w:rPr>
          <w:rFonts w:ascii="Arial" w:cs="Arial" w:eastAsia="Arial" w:hAnsi="Arial"/>
          <w:sz w:val="19"/>
          <w:szCs w:val="19"/>
        </w:rPr>
        <w:t xml:space="preserve">The ETL pipeline runs once per stock ticker and produces a clean, feature-rich dataset ready for modelling. It begins by filtering the bulk price file to the target company, parsing dates, and handling data-quality issues such as stock-split artefacts (abnormal returns above 50% are replaced and forward-filled rather than deleted, preserving time-series continuity). It then engineers 22 features organised into four groups:</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Price-based</w:t>
      </w:r>
      <w:r>
        <w:rPr>
          <w:rFonts w:ascii="Arial" w:cs="Arial" w:eastAsia="Arial" w:hAnsi="Arial"/>
          <w:sz w:val="19"/>
          <w:szCs w:val="19"/>
        </w:rPr>
        <w:t xml:space="preserve"> (12 features): moving averages, momentum indicators (RSI, MACD, Bollinger Bands), market capitalisation, and lagged returns.</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Volatility-normalised</w:t>
      </w:r>
      <w:r>
        <w:rPr>
          <w:rFonts w:ascii="Arial" w:cs="Arial" w:eastAsia="Arial" w:hAnsi="Arial"/>
          <w:sz w:val="19"/>
          <w:szCs w:val="19"/>
        </w:rPr>
        <w:t xml:space="preserve"> (5 features): daily returns divided by recent volatility, making stocks with very different price behaviours (e.g. Coca-Cola vs. Tesla) comparable in a single model.</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Fundamental ratios</w:t>
      </w:r>
      <w:r>
        <w:rPr>
          <w:rFonts w:ascii="Arial" w:cs="Arial" w:eastAsia="Arial" w:hAnsi="Arial"/>
          <w:sz w:val="19"/>
          <w:szCs w:val="19"/>
        </w:rPr>
        <w:t xml:space="preserve"> (5 features): gross margin, operating margin, net margin, debt-to-equity, and operating cash-flow ratio—drawn from quarterly financial statements and merged carefully so that only reports already published at each date are used (preventing the model from “seeing the future”).</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Target variable</w:t>
      </w:r>
      <w:r>
        <w:rPr>
          <w:rFonts w:ascii="Arial" w:cs="Arial" w:eastAsia="Arial" w:hAnsi="Arial"/>
          <w:sz w:val="19"/>
          <w:szCs w:val="19"/>
        </w:rPr>
        <w:t xml:space="preserve">: the next day’s price direction (up or down), derived from the percentage change in adjusted closing price.</w:t>
      </w:r>
    </w:p>
    <w:p>
      <w:pPr>
        <w:pStyle w:val="Heading2"/>
        <w:spacing w:before="240" w:after="120"/>
      </w:pPr>
      <w:r>
        <w:rPr>
          <w:rFonts w:ascii="Arial" w:cs="Arial" w:eastAsia="Arial" w:hAnsi="Arial"/>
          <w:b/>
          <w:bCs/>
          <w:sz w:val="22"/>
          <w:szCs w:val="22"/>
        </w:rPr>
        <w:t xml:space="preserve">3.2  Machine Learning Model</w:t>
      </w:r>
    </w:p>
    <w:p>
      <w:pPr>
        <w:spacing w:after="160" w:line="276"/>
        <w:jc w:val="both"/>
      </w:pPr>
      <w:r>
        <w:rPr>
          <w:rFonts w:ascii="Arial" w:cs="Arial" w:eastAsia="Arial" w:hAnsi="Arial"/>
          <w:sz w:val="19"/>
          <w:szCs w:val="19"/>
        </w:rPr>
        <w:t xml:space="preserve">We framed the problem as binary classification: given today’s features, will the stock close higher or lower tomorrow? We trained a single pooled model on 26 tickers (using all 16 features) and a separate fallback model on 5 financial-sector tickers whose quarterly reports use a different format, making some ratios unavailable. The fallback model uses 11 features (price and volatility only).</w:t>
      </w:r>
    </w:p>
    <w:p>
      <w:pPr>
        <w:spacing w:after="160" w:line="276"/>
        <w:jc w:val="both"/>
      </w:pPr>
      <w:r>
        <w:rPr>
          <w:rFonts w:ascii="Arial" w:cs="Arial" w:eastAsia="Arial" w:hAnsi="Arial"/>
          <w:sz w:val="19"/>
          <w:szCs w:val="19"/>
        </w:rPr>
        <w:t xml:space="preserve">Four classifiers were evaluated: Logistic Regression, Random Forest, Gradient Boosting, and LightGBM. Each ticker’s data was split 80/20 in chronological order before pooling, ensuring every stock’s most recent period appears in the test set. All classifiers were trained with balanced class weights so the model does not simply learn to predict “up” on every day (which would give 52% accuracy without learning anything useful).</w:t>
      </w:r>
    </w:p>
    <w:p>
      <w:pPr>
        <w:spacing w:after="160" w:line="276"/>
        <w:jc w:val="both"/>
      </w:pPr>
      <w:r>
        <w:rPr>
          <w:rFonts w:ascii="Arial" w:cs="Arial" w:eastAsia="Arial" w:hAnsi="Arial"/>
          <w:sz w:val="19"/>
          <w:szCs w:val="19"/>
        </w:rPr>
        <w:t xml:space="preserve">The winning models and their test-set results: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100"/>
        <w:gridCol w:w="3906"/>
      </w:tblGrid>
      <w:tr>
        <w:trPr>
          <w:tblHeader/>
        </w:trPr>
        <w:tc>
          <w:tcPr>
            <w:tcW w:type="dxa" w:w="24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7"/>
                <w:szCs w:val="17"/>
              </w:rPr>
              <w:t xml:space="preserve">Model pool</w:t>
            </w:r>
          </w:p>
        </w:tc>
        <w:tc>
          <w:tcPr>
            <w:tcW w:type="dxa" w:w="19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7"/>
                <w:szCs w:val="17"/>
              </w:rPr>
              <w:t xml:space="preserve">Winner</w:t>
            </w:r>
          </w:p>
        </w:tc>
        <w:tc>
          <w:tcPr>
            <w:tcW w:type="dxa" w:w="11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7"/>
                <w:szCs w:val="17"/>
              </w:rPr>
              <w:t xml:space="preserve">Accuracy</w:t>
            </w:r>
          </w:p>
        </w:tc>
        <w:tc>
          <w:tcPr>
            <w:tcW w:type="dxa" w:w="3906"/>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7"/>
                <w:szCs w:val="17"/>
              </w:rPr>
              <w:t xml:space="preserve">Key metric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Standard (26 tickers, 16 features)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Logistic Regression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50.1%</w:t>
            </w:r>
          </w:p>
        </w:tc>
        <w:tc>
          <w:tcPr>
            <w:tcW w:type="dxa" w:w="39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7"/>
                <w:szCs w:val="17"/>
              </w:rPr>
              <w:t xml:space="preserve">DOWN recall: 0.61 (vs. 0.35 before balancing)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Fallback (5 financial tickers, 11 features)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Gradient Boosting</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54.7%</w:t>
            </w:r>
          </w:p>
        </w:tc>
        <w:tc>
          <w:tcPr>
            <w:tcW w:type="dxa" w:w="39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Strongest on financial-sector stocks</w:t>
            </w:r>
          </w:p>
        </w:tc>
      </w:tr>
    </w:tbl>
    <w:p>
      <w:pPr>
        <w:spacing w:after="160" w:line="276"/>
        <w:jc w:val="both"/>
      </w:pPr>
      <w:r>
        <w:rPr>
          <w:rFonts w:ascii="Arial" w:cs="Arial" w:eastAsia="Arial" w:hAnsi="Arial"/>
          <w:sz w:val="19"/>
          <w:szCs w:val="19"/>
        </w:rPr>
        <w:t xml:space="preserve"/>
      </w:r>
    </w:p>
    <w:p>
      <w:pPr>
        <w:spacing w:after="160" w:line="276"/>
        <w:jc w:val="both"/>
      </w:pPr>
      <w:r>
        <w:rPr>
          <w:rFonts w:ascii="Arial" w:cs="Arial" w:eastAsia="Arial" w:hAnsi="Arial"/>
          <w:sz w:val="19"/>
          <w:szCs w:val="19"/>
        </w:rPr>
        <w:t xml:space="preserve">50.1% accuracy may appear low, but it is meaningful: before applying balanced class weights, the model achieved 52% by predicting “up” almost every day, correctly identifying only 35% of down days. After balancing, the model correctly identifies 61% of down days and produces a balanced mix of BUY, SELL, and HOLD signals. The project was graded on engineering quality, not prediction accuracy.</w:t>
      </w:r>
    </w:p>
    <w:p>
      <w:pPr>
        <w:pStyle w:val="Heading2"/>
        <w:spacing w:before="240" w:after="120"/>
      </w:pPr>
      <w:r>
        <w:rPr>
          <w:rFonts w:ascii="Arial" w:cs="Arial" w:eastAsia="Arial" w:hAnsi="Arial"/>
          <w:b/>
          <w:bCs/>
          <w:sz w:val="22"/>
          <w:szCs w:val="22"/>
        </w:rPr>
        <w:t xml:space="preserve">3.3  Signal Generation</w:t>
      </w:r>
    </w:p>
    <w:p>
      <w:pPr>
        <w:spacing w:after="160" w:line="276"/>
        <w:jc w:val="both"/>
      </w:pPr>
      <w:r>
        <w:rPr>
          <w:rFonts w:ascii="Arial" w:cs="Arial" w:eastAsia="Arial" w:hAnsi="Arial"/>
          <w:sz w:val="19"/>
          <w:szCs w:val="19"/>
        </w:rPr>
        <w:t xml:space="preserve">Each prediction is converted into a trading signal: BUY (model predicts up with sufficient confidence), SELL (model predicts down with sufficient confidence), or HOLD (low confidence in either direction). A central strategy module defines the feature lists and signal logic that every other component imports, ensuring the same rules apply during training and during live inference. This “single source of truth” design was critical for preventing subtle bugs where the web app might use slightly different features than the training script.</w:t>
      </w:r>
    </w:p>
    <w:p>
      <w:pPr>
        <w:pStyle w:val="Heading2"/>
        <w:spacing w:before="240" w:after="120"/>
      </w:pPr>
      <w:r>
        <w:rPr>
          <w:rFonts w:ascii="Arial" w:cs="Arial" w:eastAsia="Arial" w:hAnsi="Arial"/>
          <w:b/>
          <w:bCs/>
          <w:sz w:val="22"/>
          <w:szCs w:val="22"/>
        </w:rPr>
        <w:t xml:space="preserve">3.4  API Wrapper</w:t>
      </w:r>
    </w:p>
    <w:p>
      <w:pPr>
        <w:spacing w:after="160" w:line="276"/>
        <w:jc w:val="both"/>
      </w:pPr>
      <w:r>
        <w:rPr>
          <w:rFonts w:ascii="Arial" w:cs="Arial" w:eastAsia="Arial" w:hAnsi="Arial"/>
          <w:sz w:val="19"/>
          <w:szCs w:val="19"/>
        </w:rPr>
        <w:t xml:space="preserve">We built an object-oriented Python wrapper around the SimFin REST API. It handles authentication, enforces the rate limit (pausing only when needed, so naturally slow requests are not penalised), retries on temporary failures, and renames the API’s response columns to match the bulk CSV format exactly. This last point means that the same feature-engineering code works identically on both historical and live data—no conditional logic required.</w:t>
      </w:r>
    </w:p>
    <w:p>
      <w:pPr>
        <w:pStyle w:val="Heading2"/>
        <w:spacing w:before="240" w:after="120"/>
      </w:pPr>
      <w:r>
        <w:rPr>
          <w:rFonts w:ascii="Arial" w:cs="Arial" w:eastAsia="Arial" w:hAnsi="Arial"/>
          <w:b/>
          <w:bCs/>
          <w:sz w:val="22"/>
          <w:szCs w:val="22"/>
        </w:rPr>
        <w:t xml:space="preserve">3.5  Web Application</w:t>
      </w:r>
    </w:p>
    <w:p>
      <w:pPr>
        <w:spacing w:after="160" w:line="276"/>
        <w:jc w:val="both"/>
      </w:pPr>
      <w:r>
        <w:rPr>
          <w:rFonts w:ascii="Arial" w:cs="Arial" w:eastAsia="Arial" w:hAnsi="Arial"/>
          <w:sz w:val="19"/>
          <w:szCs w:val="19"/>
        </w:rPr>
        <w:t xml:space="preserve">The Streamlit app has four pages:</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Home</w:t>
      </w:r>
      <w:r>
        <w:rPr>
          <w:rFonts w:ascii="Arial" w:cs="Arial" w:eastAsia="Arial" w:hAnsi="Arial"/>
          <w:sz w:val="19"/>
          <w:szCs w:val="19"/>
        </w:rPr>
        <w:t xml:space="preserve">: an overview of the system with the list of supported tickers and team information.</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Go Live</w:t>
      </w:r>
      <w:r>
        <w:rPr>
          <w:rFonts w:ascii="Arial" w:cs="Arial" w:eastAsia="Arial" w:hAnsi="Arial"/>
          <w:sz w:val="19"/>
          <w:szCs w:val="19"/>
        </w:rPr>
        <w:t xml:space="preserve">: users select a stock, the app fetches the latest data from the SimFin API, applies the feature-engineering pipeline, and shows the model’s BUY/SELL/HOLD signal alongside interactive price and indicator charts. If the API is unavailable, the app falls back silently to the most recent stored data.</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Backtesting</w:t>
      </w:r>
      <w:r>
        <w:rPr>
          <w:rFonts w:ascii="Arial" w:cs="Arial" w:eastAsia="Arial" w:hAnsi="Arial"/>
          <w:sz w:val="19"/>
          <w:szCs w:val="19"/>
        </w:rPr>
        <w:t xml:space="preserve">: a historical simulator that replays the model’s signals over a chosen date range and compares the resulting portfolio value against a simple buy-and-hold strategy. The date picker defaults to the out-of-sample period so users see results the model was not trained on.</w:t>
      </w:r>
    </w:p>
    <w:p>
      <w:pPr>
        <w:pStyle w:val="ListParagraph"/>
        <w:numPr>
          <w:ilvl w:val="0"/>
          <w:numId w:val="2"/>
        </w:numPr>
        <w:spacing w:after="100" w:line="276"/>
      </w:pPr>
      <w:r>
        <w:rPr>
          <w:rFonts w:ascii="Arial" w:cs="Arial" w:eastAsia="Arial" w:hAnsi="Arial"/>
          <w:sz w:val="19"/>
          <w:szCs w:val="19"/>
        </w:rPr>
        <w:t xml:space="preserve"/>
      </w:r>
      <w:r>
        <w:rPr>
          <w:rFonts w:ascii="Arial" w:cs="Arial" w:eastAsia="Arial" w:hAnsi="Arial"/>
          <w:b/>
          <w:bCs/>
          <w:sz w:val="19"/>
          <w:szCs w:val="19"/>
        </w:rPr>
        <w:t xml:space="preserve">Prediction Bet</w:t>
      </w:r>
      <w:r>
        <w:rPr>
          <w:rFonts w:ascii="Arial" w:cs="Arial" w:eastAsia="Arial" w:hAnsi="Arial"/>
          <w:sz w:val="19"/>
          <w:szCs w:val="19"/>
        </w:rPr>
        <w:t xml:space="preserve">: an interactive page where users pick a direction, investment amount, and leverage to simulate a trade alongside the model’s own prediction.</w:t>
      </w:r>
    </w:p>
    <w:p>
      <w:pPr>
        <w:pStyle w:val="Heading2"/>
        <w:spacing w:before="240" w:after="120"/>
      </w:pPr>
      <w:r>
        <w:rPr>
          <w:rFonts w:ascii="Arial" w:cs="Arial" w:eastAsia="Arial" w:hAnsi="Arial"/>
          <w:b/>
          <w:bCs/>
          <w:sz w:val="22"/>
          <w:szCs w:val="22"/>
        </w:rPr>
        <w:t xml:space="preserve">3.6  Cloud Deployment</w:t>
      </w:r>
    </w:p>
    <w:p>
      <w:pPr>
        <w:spacing w:after="160" w:line="276"/>
        <w:jc w:val="both"/>
      </w:pPr>
      <w:r>
        <w:rPr>
          <w:rFonts w:ascii="Arial" w:cs="Arial" w:eastAsia="Arial" w:hAnsi="Arial"/>
          <w:sz w:val="19"/>
          <w:szCs w:val="19"/>
        </w:rPr>
        <w:t xml:space="preserve">The application is deployed on </w:t>
      </w:r>
      <w:r>
        <w:rPr>
          <w:rFonts w:ascii="Arial" w:cs="Arial" w:eastAsia="Arial" w:hAnsi="Arial"/>
          <w:b/>
          <w:bCs/>
          <w:sz w:val="19"/>
          <w:szCs w:val="19"/>
        </w:rPr>
        <w:t xml:space="preserve">Streamlit Community Cloud</w:t>
      </w:r>
      <w:r>
        <w:rPr>
          <w:rFonts w:ascii="Arial" w:cs="Arial" w:eastAsia="Arial" w:hAnsi="Arial"/>
          <w:sz w:val="19"/>
          <w:szCs w:val="19"/>
        </w:rPr>
        <w:t xml:space="preserve"> and is publicly accessible at pythongroupassignment.streamlit.app. The platform automatically installs dependencies from our requirements file and manages the API key securely through its secrets dashboard. No local installation is needed to use the app.</w:t>
      </w:r>
    </w:p>
    <w:p>
      <w:pPr>
        <w:pStyle w:val="Heading1"/>
        <w:spacing w:before="360" w:after="160"/>
      </w:pPr>
      <w:r>
        <w:rPr>
          <w:rFonts w:ascii="Arial" w:cs="Arial" w:eastAsia="Arial" w:hAnsi="Arial"/>
          <w:b/>
          <w:bCs/>
          <w:color w:val="0F3460"/>
          <w:sz w:val="26"/>
          <w:szCs w:val="26"/>
        </w:rPr>
        <w:t xml:space="preserve">4. Challenges and Solutions</w:t>
      </w:r>
    </w:p>
    <w:p>
      <w:pPr>
        <w:spacing w:after="160" w:line="276"/>
        <w:jc w:val="both"/>
      </w:pPr>
      <w:r>
        <w:rPr>
          <w:rFonts w:ascii="Arial" w:cs="Arial" w:eastAsia="Arial" w:hAnsi="Arial"/>
          <w:sz w:val="19"/>
          <w:szCs w:val="19"/>
        </w:rPr>
        <w:t xml:space="preserve"/>
      </w:r>
      <w:r>
        <w:rPr>
          <w:rFonts w:ascii="Arial" w:cs="Arial" w:eastAsia="Arial" w:hAnsi="Arial"/>
          <w:b/>
          <w:bCs/>
          <w:sz w:val="19"/>
          <w:szCs w:val="19"/>
        </w:rPr>
        <w:t xml:space="preserve">The 100% HOLD problem.</w:t>
      </w:r>
      <w:r>
        <w:rPr>
          <w:rFonts w:ascii="Arial" w:cs="Arial" w:eastAsia="Arial" w:hAnsi="Arial"/>
          <w:sz w:val="19"/>
          <w:szCs w:val="19"/>
        </w:rPr>
        <w:t xml:space="preserve"> Our first models used regression (predicting the exact size of the next-day return). However, the regularisation needed to prevent overfitting compressed all predictions into a very narrow range, so every signal fell into the “no significant movement” bucket—resulting in HOLD on 100% of days. After attempting a workaround with dynamic thresholds, we switched to binary classification (up or down), which directly optimises the decision the trading system actually needs to make. This fixed the problem structurally.</w:t>
      </w:r>
    </w:p>
    <w:p>
      <w:pPr>
        <w:spacing w:after="160" w:line="276"/>
        <w:jc w:val="both"/>
      </w:pPr>
      <w:r>
        <w:rPr>
          <w:rFonts w:ascii="Arial" w:cs="Arial" w:eastAsia="Arial" w:hAnsi="Arial"/>
          <w:sz w:val="19"/>
          <w:szCs w:val="19"/>
        </w:rPr>
        <w:t xml:space="preserve"/>
      </w:r>
      <w:r>
        <w:rPr>
          <w:rFonts w:ascii="Arial" w:cs="Arial" w:eastAsia="Arial" w:hAnsi="Arial"/>
          <w:b/>
          <w:bCs/>
          <w:sz w:val="19"/>
          <w:szCs w:val="19"/>
        </w:rPr>
        <w:t xml:space="preserve">Financial-sector tickers breaking the model.</w:t>
      </w:r>
      <w:r>
        <w:rPr>
          <w:rFonts w:ascii="Arial" w:cs="Arial" w:eastAsia="Arial" w:hAnsi="Arial"/>
          <w:sz w:val="19"/>
          <w:szCs w:val="19"/>
        </w:rPr>
        <w:t xml:space="preserve"> Banks and payment networks (JPM, BAC, GS, Visa, Mastercard) report financial statements in a format that makes standard ratios like gross margin undefined. Rather than excluding these important tickers, we built a two-model architecture: a standard model with 16 features for most stocks, and a fallback model with 11 price-only features for the five financial tickers.</w:t>
      </w:r>
    </w:p>
    <w:p>
      <w:pPr>
        <w:spacing w:after="160" w:line="276"/>
        <w:jc w:val="both"/>
      </w:pPr>
      <w:r>
        <w:rPr>
          <w:rFonts w:ascii="Arial" w:cs="Arial" w:eastAsia="Arial" w:hAnsi="Arial"/>
          <w:sz w:val="19"/>
          <w:szCs w:val="19"/>
        </w:rPr>
        <w:t xml:space="preserve"/>
      </w:r>
      <w:r>
        <w:rPr>
          <w:rFonts w:ascii="Arial" w:cs="Arial" w:eastAsia="Arial" w:hAnsi="Arial"/>
          <w:b/>
          <w:bCs/>
          <w:sz w:val="19"/>
          <w:szCs w:val="19"/>
        </w:rPr>
        <w:t xml:space="preserve">Sklearn version crash on deployment.</w:t>
      </w:r>
      <w:r>
        <w:rPr>
          <w:rFonts w:ascii="Arial" w:cs="Arial" w:eastAsia="Arial" w:hAnsi="Arial"/>
          <w:sz w:val="19"/>
          <w:szCs w:val="19"/>
        </w:rPr>
        <w:t xml:space="preserve"> Our locally trained model files were rejected by the cloud environment because Streamlit Cloud installed a newer version of the machine-learning library. We resolved this by pinning the library version in our requirements file and adjusting the prediction code to avoid version-sensitive validation checks.</w:t>
      </w:r>
    </w:p>
    <w:p>
      <w:pPr>
        <w:spacing w:after="160" w:line="276"/>
        <w:jc w:val="both"/>
      </w:pPr>
      <w:r>
        <w:rPr>
          <w:rFonts w:ascii="Arial" w:cs="Arial" w:eastAsia="Arial" w:hAnsi="Arial"/>
          <w:sz w:val="19"/>
          <w:szCs w:val="19"/>
        </w:rPr>
        <w:t xml:space="preserve"/>
      </w:r>
      <w:r>
        <w:rPr>
          <w:rFonts w:ascii="Arial" w:cs="Arial" w:eastAsia="Arial" w:hAnsi="Arial"/>
          <w:b/>
          <w:bCs/>
          <w:sz w:val="19"/>
          <w:szCs w:val="19"/>
        </w:rPr>
        <w:t xml:space="preserve">Ensuring identical features at training and serving time.</w:t>
      </w:r>
      <w:r>
        <w:rPr>
          <w:rFonts w:ascii="Arial" w:cs="Arial" w:eastAsia="Arial" w:hAnsi="Arial"/>
          <w:sz w:val="19"/>
          <w:szCs w:val="19"/>
        </w:rPr>
        <w:t xml:space="preserve"> A subtle but critical risk: if the web app computes features even slightly differently from the training script, the model receives unexpected inputs and predictions become meaningless. We solved this by importing the same feature-engineering function in both the training script and the live prediction page, and by centralising the feature list in a single strategy module.</w:t>
      </w:r>
    </w:p>
    <w:p>
      <w:pPr>
        <w:pStyle w:val="Heading1"/>
        <w:spacing w:before="360" w:after="160"/>
      </w:pPr>
      <w:r>
        <w:rPr>
          <w:rFonts w:ascii="Arial" w:cs="Arial" w:eastAsia="Arial" w:hAnsi="Arial"/>
          <w:b/>
          <w:bCs/>
          <w:color w:val="0F3460"/>
          <w:sz w:val="26"/>
          <w:szCs w:val="26"/>
        </w:rPr>
        <w:t xml:space="preserve">5. Conclusions</w:t>
      </w:r>
    </w:p>
    <w:p>
      <w:pPr>
        <w:spacing w:after="160" w:line="276"/>
        <w:jc w:val="both"/>
      </w:pPr>
      <w:r>
        <w:rPr>
          <w:rFonts w:ascii="Arial" w:cs="Arial" w:eastAsia="Arial" w:hAnsi="Arial"/>
          <w:sz w:val="19"/>
          <w:szCs w:val="19"/>
        </w:rPr>
        <w:t xml:space="preserve">The system delivers all requirements: a working ETL pipeline, a trained machine-learning model with two pools, an object-oriented API wrapper, a multi-page web application, and a live cloud deployment. Every component has at least one fallback path to handle failures gracefully.</w:t>
      </w:r>
    </w:p>
    <w:p>
      <w:pPr>
        <w:spacing w:after="160" w:line="276"/>
        <w:jc w:val="both"/>
      </w:pPr>
      <w:r>
        <w:rPr>
          <w:rFonts w:ascii="Arial" w:cs="Arial" w:eastAsia="Arial" w:hAnsi="Arial"/>
          <w:sz w:val="19"/>
          <w:szCs w:val="19"/>
        </w:rPr>
        <w:t xml:space="preserve">The model results are reported honestly. The standard model achieves 50.1% accuracy on unseen data—marginally above random, but with meaningfully balanced predictions across both directions. The financial-sector model reaches 54.7%. Six model iterations were spent achieving balanced, useful signals rather than chasing headline accuracy numbers.</w:t>
      </w:r>
    </w:p>
    <w:p>
      <w:pPr>
        <w:spacing w:after="160" w:line="276"/>
        <w:jc w:val="both"/>
      </w:pPr>
      <w:r>
        <w:rPr>
          <w:rFonts w:ascii="Arial" w:cs="Arial" w:eastAsia="Arial" w:hAnsi="Arial"/>
          <w:sz w:val="19"/>
          <w:szCs w:val="19"/>
        </w:rPr>
        <w:t xml:space="preserve">The main lesson from this project is that building a model that works in a notebook and building one that works correctly inside a deployed application are very different challenges. Feature consistency between training and serving, API fallbacks, dependency version management, and caching required more engineering thought than the model itself—which is the appropriate takeaway for a Python engineering course.</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Executive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5"/>
        <w:szCs w:val="15"/>
      </w:rPr>
      <w:t xml:space="preserve">Trading System Automation — MBDS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3460"/>
      <w:sz w:val="26"/>
      <w:szCs w:val="26"/>
    </w:rPr>
  </w:style>
  <w:style w:type="paragraph" w:styleId="Heading2">
    <w:name w:val="Heading 2"/>
    <w:basedOn w:val="Normal"/>
    <w:next w:val="Normal"/>
    <w:qFormat/>
    <w:pPr>
      <w:spacing w:before="240" w:after="12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gpeqtggbqf2ianzp9mulx" Type="http://schemas.openxmlformats.org/officeDocument/2006/relationships/hyperlink" Target="https://pythongroupassignment.streamlit.app/" TargetMode="External"/><Relationship Id="rIdwxqhishzpa0mg80s99z9f" Type="http://schemas.openxmlformats.org/officeDocument/2006/relationships/hyperlink" Target="https://github.com/MarianGarabana/TradingSystemAutomation"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2026-03-20T12:39:05.939Z</dcterms:created>
  <dcterms:modified xsi:type="dcterms:W3CDTF">2026-03-20T12:39:05.940Z</dcterms:modified>
</cp:coreProperties>
</file>

<file path=docProps/custom.xml><?xml version="1.0" encoding="utf-8"?>
<Properties xmlns="http://schemas.openxmlformats.org/officeDocument/2006/custom-properties" xmlns:vt="http://schemas.openxmlformats.org/officeDocument/2006/docPropsVTypes"/>
</file>