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Segoe UI" w:hAnsi="Segoe UI"/>
          <w:b/>
          <w:i w:val="0"/>
          <w:color w:val="1A5C3A"/>
          <w:sz w:val="40"/>
        </w:rPr>
        <w:t>INFORME DE CONFIGURACIÓN TÉCNICA Y SEGURIDAD</w:t>
      </w:r>
    </w:p>
    <w:p>
      <w:pPr>
        <w:spacing w:after="480"/>
        <w:jc w:val="center"/>
      </w:pPr>
      <w:r>
        <w:rPr>
          <w:rFonts w:ascii="Segoe UI" w:hAnsi="Segoe UI"/>
          <w:b w:val="0"/>
          <w:i/>
          <w:color w:val="64748B"/>
          <w:sz w:val="28"/>
        </w:rPr>
        <w:t>Proyecto UFCA (Unión Familiar de Crédito y Ahorro)</w:t>
      </w:r>
    </w:p>
    <w:p>
      <w:pPr>
        <w:spacing w:after="600"/>
        <w:ind w:left="720"/>
        <w:jc w:val="left"/>
      </w:pPr>
      <w:r>
        <w:rPr>
          <w:rFonts w:ascii="Arial" w:hAnsi="Arial"/>
          <w:b/>
          <w:i w:val="0"/>
          <w:color w:val="64748B"/>
          <w:sz w:val="20"/>
        </w:rPr>
        <w:t xml:space="preserve">Carácter: </w:t>
      </w:r>
      <w:r>
        <w:rPr>
          <w:rFonts w:ascii="Arial" w:hAnsi="Arial"/>
          <w:b w:val="0"/>
          <w:i w:val="0"/>
          <w:color w:val="1A5C3A"/>
          <w:sz w:val="20"/>
        </w:rPr>
        <w:t>Meramente Informativo (Sin cambios en el código)</w:t>
        <w:br/>
      </w:r>
      <w:r>
        <w:rPr>
          <w:rFonts w:ascii="Arial" w:hAnsi="Arial"/>
          <w:b/>
          <w:i w:val="0"/>
          <w:color w:val="64748B"/>
          <w:sz w:val="20"/>
        </w:rPr>
        <w:t xml:space="preserve">Fecha de Generación: </w:t>
      </w:r>
      <w:r>
        <w:rPr>
          <w:rFonts w:ascii="Arial" w:hAnsi="Arial"/>
          <w:b w:val="0"/>
          <w:i w:val="0"/>
          <w:color w:val="334155"/>
          <w:sz w:val="20"/>
        </w:rPr>
        <w:t>22 de Junio, 2026</w:t>
        <w:br/>
      </w:r>
      <w:r>
        <w:rPr>
          <w:rFonts w:ascii="Arial" w:hAnsi="Arial"/>
          <w:b/>
          <w:i w:val="0"/>
          <w:color w:val="64748B"/>
          <w:sz w:val="20"/>
        </w:rPr>
        <w:t xml:space="preserve">Plataforma Base: </w:t>
      </w:r>
      <w:r>
        <w:rPr>
          <w:rFonts w:ascii="Arial" w:hAnsi="Arial"/>
          <w:b w:val="0"/>
          <w:i w:val="0"/>
          <w:color w:val="334155"/>
          <w:sz w:val="20"/>
        </w:rPr>
        <w:t>React + TypeScript + Vite + Capacitor + Supabase</w:t>
      </w:r>
    </w:p>
    <w:p>
      <w:pPr>
        <w:spacing w:after="240"/>
      </w:pPr>
    </w:p>
    <w:p>
      <w:pPr>
        <w:pStyle w:val="Heading1"/>
        <w:keepNext/>
        <w:spacing w:before="360" w:after="160"/>
      </w:pPr>
      <w:r>
        <w:rPr>
          <w:rFonts w:ascii="Segoe UI" w:hAnsi="Segoe UI"/>
          <w:b/>
          <w:i w:val="0"/>
          <w:color w:val="1A5C3A"/>
          <w:sz w:val="32"/>
        </w:rPr>
        <w:t>1. Inventario de Variables de Entorno de cada Servicio</w:t>
      </w:r>
    </w:p>
    <w:p>
      <w:pPr>
        <w:spacing w:after="240"/>
      </w:pPr>
      <w:r>
        <w:rPr>
          <w:rFonts w:ascii="Arial" w:hAnsi="Arial"/>
          <w:b w:val="0"/>
          <w:i w:val="0"/>
          <w:color w:val="334155"/>
          <w:sz w:val="22"/>
        </w:rPr>
        <w:t>A continuación se presenta el inventario exhaustivo de las variables de entorno utilizadas en el proyecto UFCA. De acuerdo con las políticas de seguridad de la aplicación, únicamente se detallan los nombres, propósitos y ubicaciones de configuración, omitiendo por completo sus valores.</w:t>
      </w:r>
    </w:p>
    <w:tbl>
      <w:tblPr>
        <w:tblW w:type="auto" w:w="0"/>
        <w:jc w:val="center"/>
        <w:tblLook w:firstColumn="1" w:firstRow="1" w:lastColumn="0" w:lastRow="0" w:noHBand="0" w:noVBand="1" w:val="04A0"/>
      </w:tblPr>
      <w:tblGrid>
        <w:gridCol w:w="3120"/>
        <w:gridCol w:w="3120"/>
        <w:gridCol w:w="3120"/>
      </w:tblGrid>
      <w:tr>
        <w:tc>
          <w:tcPr>
            <w:tcW w:type="dxa" w:w="2592"/>
            <w:shd w:fill="1A5C3A"/>
            <w:tcMar>
              <w:top w:w="120" w:type="dxa"/>
              <w:bottom w:w="120" w:type="dxa"/>
              <w:left w:w="150" w:type="dxa"/>
              <w:right w:w="150" w:type="dxa"/>
            </w:tcMar>
          </w:tcPr>
          <w:p>
            <w:pPr>
              <w:jc w:val="left"/>
            </w:pPr>
            <w:r>
              <w:rPr>
                <w:rFonts w:ascii="Segoe UI" w:hAnsi="Segoe UI"/>
                <w:b/>
                <w:i w:val="0"/>
                <w:color w:val="FFFFFF"/>
                <w:sz w:val="20"/>
              </w:rPr>
              <w:t>Variable de Entorno</w:t>
            </w:r>
          </w:p>
        </w:tc>
        <w:tc>
          <w:tcPr>
            <w:tcW w:type="dxa" w:w="4608"/>
            <w:shd w:fill="1A5C3A"/>
            <w:tcMar>
              <w:top w:w="120" w:type="dxa"/>
              <w:bottom w:w="120" w:type="dxa"/>
              <w:left w:w="150" w:type="dxa"/>
              <w:right w:w="150" w:type="dxa"/>
            </w:tcMar>
          </w:tcPr>
          <w:p>
            <w:pPr>
              <w:jc w:val="left"/>
            </w:pPr>
            <w:r>
              <w:rPr>
                <w:rFonts w:ascii="Segoe UI" w:hAnsi="Segoe UI"/>
                <w:b/>
                <w:i w:val="0"/>
                <w:color w:val="FFFFFF"/>
                <w:sz w:val="20"/>
              </w:rPr>
              <w:t>Propósito y Uso en el Negocio</w:t>
            </w:r>
          </w:p>
        </w:tc>
        <w:tc>
          <w:tcPr>
            <w:tcW w:type="dxa" w:w="2880"/>
            <w:shd w:fill="1A5C3A"/>
            <w:tcMar>
              <w:top w:w="120" w:type="dxa"/>
              <w:bottom w:w="120" w:type="dxa"/>
              <w:left w:w="150" w:type="dxa"/>
              <w:right w:w="150" w:type="dxa"/>
            </w:tcMar>
          </w:tcPr>
          <w:p>
            <w:pPr>
              <w:jc w:val="left"/>
            </w:pPr>
            <w:r>
              <w:rPr>
                <w:rFonts w:ascii="Segoe UI" w:hAnsi="Segoe UI"/>
                <w:b/>
                <w:i w:val="0"/>
                <w:color w:val="FFFFFF"/>
                <w:sz w:val="20"/>
              </w:rPr>
              <w:t>Ubicación de Configuración</w:t>
            </w:r>
          </w:p>
        </w:tc>
      </w:tr>
      <w:tr>
        <w:tc>
          <w:tcPr>
            <w:tcW w:type="dxa" w:w="2592"/>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Consolas" w:hAnsi="Consolas"/>
                <w:b/>
                <w:i w:val="0"/>
                <w:color w:val="1A5C3A"/>
                <w:sz w:val="19"/>
              </w:rPr>
              <w:t>VITE_SUPABASE_URL</w:t>
            </w:r>
          </w:p>
        </w:tc>
        <w:tc>
          <w:tcPr>
            <w:tcW w:type="dxa" w:w="4608"/>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val="0"/>
                <w:color w:val="334155"/>
                <w:sz w:val="19"/>
              </w:rPr>
              <w:t>URL base de conexión al API Gateway (Kong) de Supabase para el cliente web. Permite acceder a las tablas y servicios de autenticación.</w:t>
            </w:r>
          </w:p>
        </w:tc>
        <w:tc>
          <w:tcPr>
            <w:tcW w:type="dxa" w:w="2880"/>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color w:val="334155"/>
                <w:sz w:val="18"/>
              </w:rPr>
              <w:t>Web: Archivo .env local / Dashboard de Vercel (Producción)</w:t>
            </w:r>
          </w:p>
        </w:tc>
      </w:tr>
      <w:tr>
        <w:tc>
          <w:tcPr>
            <w:tcW w:type="dxa" w:w="2592"/>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Consolas" w:hAnsi="Consolas"/>
                <w:b/>
                <w:i w:val="0"/>
                <w:color w:val="1A5C3A"/>
                <w:sz w:val="19"/>
              </w:rPr>
              <w:t>VITE_SUPABASE_ANON_KEY</w:t>
            </w:r>
          </w:p>
        </w:tc>
        <w:tc>
          <w:tcPr>
            <w:tcW w:type="dxa" w:w="4608"/>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val="0"/>
                <w:color w:val="334155"/>
                <w:sz w:val="19"/>
              </w:rPr>
              <w:t>Clave anónima pública que permite al cliente web interactuar de forma segura con la base de datos bajo control de políticas RLS.</w:t>
            </w:r>
          </w:p>
        </w:tc>
        <w:tc>
          <w:tcPr>
            <w:tcW w:type="dxa" w:w="2880"/>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color w:val="334155"/>
                <w:sz w:val="18"/>
              </w:rPr>
              <w:t>Web: Archivo .env local / Dashboard de Vercel (Producción)</w:t>
            </w:r>
          </w:p>
        </w:tc>
      </w:tr>
      <w:tr>
        <w:tc>
          <w:tcPr>
            <w:tcW w:type="dxa" w:w="2592"/>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Consolas" w:hAnsi="Consolas"/>
                <w:b/>
                <w:i w:val="0"/>
                <w:color w:val="1A5C3A"/>
                <w:sz w:val="19"/>
              </w:rPr>
              <w:t>VITE_PUBLIC_URL</w:t>
            </w:r>
          </w:p>
        </w:tc>
        <w:tc>
          <w:tcPr>
            <w:tcW w:type="dxa" w:w="4608"/>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val="0"/>
                <w:color w:val="334155"/>
                <w:sz w:val="19"/>
              </w:rPr>
              <w:t>URL pública oficial del frontend de la aplicación web, utilizada para construir enlaces de retorno, redirecciones u OAuth.</w:t>
            </w:r>
          </w:p>
        </w:tc>
        <w:tc>
          <w:tcPr>
            <w:tcW w:type="dxa" w:w="2880"/>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color w:val="334155"/>
                <w:sz w:val="18"/>
              </w:rPr>
              <w:t>Web: Archivo .env local / Dashboard de Vercel (Producción)</w:t>
            </w:r>
          </w:p>
        </w:tc>
      </w:tr>
      <w:tr>
        <w:tc>
          <w:tcPr>
            <w:tcW w:type="dxa" w:w="2592"/>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Consolas" w:hAnsi="Consolas"/>
                <w:b/>
                <w:i w:val="0"/>
                <w:color w:val="1A5C3A"/>
                <w:sz w:val="19"/>
              </w:rPr>
              <w:t>VITE_SUPABASE_URL</w:t>
            </w:r>
          </w:p>
        </w:tc>
        <w:tc>
          <w:tcPr>
            <w:tcW w:type="dxa" w:w="4608"/>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val="0"/>
                <w:color w:val="334155"/>
                <w:sz w:val="19"/>
              </w:rPr>
              <w:t>URL del backend de Supabase de producción a la que se conectará la app móvil nativa en tiempo de ejecución.</w:t>
            </w:r>
          </w:p>
        </w:tc>
        <w:tc>
          <w:tcPr>
            <w:tcW w:type="dxa" w:w="2880"/>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color w:val="334155"/>
                <w:sz w:val="18"/>
              </w:rPr>
              <w:t>Móvil: Archivo mobile-app/.env (Se inyecta estáticamente al compilar)</w:t>
            </w:r>
          </w:p>
        </w:tc>
      </w:tr>
      <w:tr>
        <w:tc>
          <w:tcPr>
            <w:tcW w:type="dxa" w:w="2592"/>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Consolas" w:hAnsi="Consolas"/>
                <w:b/>
                <w:i w:val="0"/>
                <w:color w:val="1A5C3A"/>
                <w:sz w:val="19"/>
              </w:rPr>
              <w:t>VITE_SUPABASE_ANON_KEY</w:t>
            </w:r>
          </w:p>
        </w:tc>
        <w:tc>
          <w:tcPr>
            <w:tcW w:type="dxa" w:w="4608"/>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val="0"/>
                <w:color w:val="334155"/>
                <w:sz w:val="19"/>
              </w:rPr>
              <w:t>Clave anónima pública que la app móvil nativa usará para realizar consultas a las tablas permitidas y autenticar asociados.</w:t>
            </w:r>
          </w:p>
        </w:tc>
        <w:tc>
          <w:tcPr>
            <w:tcW w:type="dxa" w:w="2880"/>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color w:val="334155"/>
                <w:sz w:val="18"/>
              </w:rPr>
              <w:t>Móvil: Archivo mobile-app/.env (Se inyecta estáticamente al compilar)</w:t>
            </w:r>
          </w:p>
        </w:tc>
      </w:tr>
      <w:tr>
        <w:tc>
          <w:tcPr>
            <w:tcW w:type="dxa" w:w="2592"/>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Consolas" w:hAnsi="Consolas"/>
                <w:b/>
                <w:i w:val="0"/>
                <w:color w:val="1A5C3A"/>
                <w:sz w:val="19"/>
              </w:rPr>
              <w:t>VITE_PUBLIC_URL</w:t>
            </w:r>
          </w:p>
        </w:tc>
        <w:tc>
          <w:tcPr>
            <w:tcW w:type="dxa" w:w="4608"/>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val="0"/>
                <w:color w:val="334155"/>
                <w:sz w:val="19"/>
              </w:rPr>
              <w:t>URL pública del frontend web principal asociado al flujo de la aplicación móvil.</w:t>
            </w:r>
          </w:p>
        </w:tc>
        <w:tc>
          <w:tcPr>
            <w:tcW w:type="dxa" w:w="2880"/>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color w:val="334155"/>
                <w:sz w:val="18"/>
              </w:rPr>
              <w:t>Móvil: Archivo mobile-app/.env (Se inyecta estáticamente al compilar)</w:t>
            </w:r>
          </w:p>
        </w:tc>
      </w:tr>
      <w:tr>
        <w:tc>
          <w:tcPr>
            <w:tcW w:type="dxa" w:w="2592"/>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Consolas" w:hAnsi="Consolas"/>
                <w:b/>
                <w:i w:val="0"/>
                <w:color w:val="1A5C3A"/>
                <w:sz w:val="19"/>
              </w:rPr>
              <w:t>SUPABASE_URL</w:t>
            </w:r>
          </w:p>
        </w:tc>
        <w:tc>
          <w:tcPr>
            <w:tcW w:type="dxa" w:w="4608"/>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val="0"/>
                <w:color w:val="334155"/>
                <w:sz w:val="19"/>
              </w:rPr>
              <w:t>URL del backend de Supabase autogestionada internamente por la Edge Function para conectarse al ecosistema local.</w:t>
            </w:r>
          </w:p>
        </w:tc>
        <w:tc>
          <w:tcPr>
            <w:tcW w:type="dxa" w:w="2880"/>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color w:val="334155"/>
                <w:sz w:val="18"/>
              </w:rPr>
              <w:t>Backend: Supabase Secrets (Inyectada por defecto en la plataforma)</w:t>
            </w:r>
          </w:p>
        </w:tc>
      </w:tr>
      <w:tr>
        <w:tc>
          <w:tcPr>
            <w:tcW w:type="dxa" w:w="2592"/>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Consolas" w:hAnsi="Consolas"/>
                <w:b/>
                <w:i w:val="0"/>
                <w:color w:val="1A5C3A"/>
                <w:sz w:val="19"/>
              </w:rPr>
              <w:t>SUPABASE_ANON_KEY</w:t>
            </w:r>
          </w:p>
        </w:tc>
        <w:tc>
          <w:tcPr>
            <w:tcW w:type="dxa" w:w="4608"/>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val="0"/>
                <w:color w:val="334155"/>
                <w:sz w:val="19"/>
              </w:rPr>
              <w:t>Clave pública anónima autogestionada internamente en las Edge Functions para transacciones de bajo nivel.</w:t>
            </w:r>
          </w:p>
        </w:tc>
        <w:tc>
          <w:tcPr>
            <w:tcW w:type="dxa" w:w="2880"/>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color w:val="334155"/>
                <w:sz w:val="18"/>
              </w:rPr>
              <w:t>Backend: Supabase Secrets (Inyectada por defecto en la plataforma)</w:t>
            </w:r>
          </w:p>
        </w:tc>
      </w:tr>
      <w:tr>
        <w:tc>
          <w:tcPr>
            <w:tcW w:type="dxa" w:w="2592"/>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Consolas" w:hAnsi="Consolas"/>
                <w:b/>
                <w:i w:val="0"/>
                <w:color w:val="1A5C3A"/>
                <w:sz w:val="19"/>
              </w:rPr>
              <w:t>SUPABASE_SERVICE_ROLE_KEY</w:t>
            </w:r>
          </w:p>
        </w:tc>
        <w:tc>
          <w:tcPr>
            <w:tcW w:type="dxa" w:w="4608"/>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val="0"/>
                <w:color w:val="334155"/>
                <w:sz w:val="19"/>
              </w:rPr>
              <w:t>Clave de rol de servicio (admin). Permite saltarse las políticas RLS. Solo se expone y utiliza de forma interna en las Edge Functions.</w:t>
            </w:r>
          </w:p>
        </w:tc>
        <w:tc>
          <w:tcPr>
            <w:tcW w:type="dxa" w:w="2880"/>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color w:val="334155"/>
                <w:sz w:val="18"/>
              </w:rPr>
              <w:t>Backend: Supabase Secrets (Inyectada por defecto en la plataforma)</w:t>
            </w:r>
          </w:p>
        </w:tc>
      </w:tr>
      <w:tr>
        <w:tc>
          <w:tcPr>
            <w:tcW w:type="dxa" w:w="2592"/>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Consolas" w:hAnsi="Consolas"/>
                <w:b/>
                <w:i w:val="0"/>
                <w:color w:val="1A5C3A"/>
                <w:sz w:val="19"/>
              </w:rPr>
              <w:t>RESEND_API_KEY</w:t>
            </w:r>
          </w:p>
        </w:tc>
        <w:tc>
          <w:tcPr>
            <w:tcW w:type="dxa" w:w="4608"/>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val="0"/>
                <w:color w:val="334155"/>
                <w:sz w:val="19"/>
              </w:rPr>
              <w:t>Token de autorización para el servicio de correos Resend. Permite el envío automático de notificaciones a los asociados.</w:t>
            </w:r>
          </w:p>
        </w:tc>
        <w:tc>
          <w:tcPr>
            <w:tcW w:type="dxa" w:w="2880"/>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color w:val="334155"/>
                <w:sz w:val="18"/>
              </w:rPr>
              <w:t>Backend: Secrets del panel de control de Supabase (Producción)</w:t>
            </w:r>
          </w:p>
        </w:tc>
      </w:tr>
      <w:tr>
        <w:tc>
          <w:tcPr>
            <w:tcW w:type="dxa" w:w="2592"/>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Consolas" w:hAnsi="Consolas"/>
                <w:b/>
                <w:i w:val="0"/>
                <w:color w:val="1A5C3A"/>
                <w:sz w:val="19"/>
              </w:rPr>
              <w:t>FROM_EMAIL</w:t>
            </w:r>
          </w:p>
        </w:tc>
        <w:tc>
          <w:tcPr>
            <w:tcW w:type="dxa" w:w="4608"/>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val="0"/>
                <w:color w:val="334155"/>
                <w:sz w:val="19"/>
              </w:rPr>
              <w:t>Correo del remitente certificado (ej. noreply@ufca.app) utilizado en las plantillas HTML enviadas por Resend.</w:t>
            </w:r>
          </w:p>
        </w:tc>
        <w:tc>
          <w:tcPr>
            <w:tcW w:type="dxa" w:w="2880"/>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color w:val="334155"/>
                <w:sz w:val="18"/>
              </w:rPr>
              <w:t>Backend: Secrets del panel de control de Supabase (Producción)</w:t>
            </w:r>
          </w:p>
        </w:tc>
      </w:tr>
      <w:tr>
        <w:tc>
          <w:tcPr>
            <w:tcW w:type="dxa" w:w="2592"/>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Consolas" w:hAnsi="Consolas"/>
                <w:b/>
                <w:i w:val="0"/>
                <w:color w:val="1A5C3A"/>
                <w:sz w:val="19"/>
              </w:rPr>
              <w:t>APP_URL</w:t>
            </w:r>
          </w:p>
        </w:tc>
        <w:tc>
          <w:tcPr>
            <w:tcW w:type="dxa" w:w="4608"/>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val="0"/>
                <w:color w:val="334155"/>
                <w:sz w:val="19"/>
              </w:rPr>
              <w:t>URL de producción del frontend utilizada para generar enlaces interactivos dinámicos dentro de los correos electrónicos.</w:t>
            </w:r>
          </w:p>
        </w:tc>
        <w:tc>
          <w:tcPr>
            <w:tcW w:type="dxa" w:w="2880"/>
            <w:shd w:fill="FFFFFF"/>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color w:val="334155"/>
                <w:sz w:val="18"/>
              </w:rPr>
              <w:t>Backend: Secrets del panel de control de Supabase (Producción)</w:t>
            </w:r>
          </w:p>
        </w:tc>
      </w:tr>
      <w:tr>
        <w:tc>
          <w:tcPr>
            <w:tcW w:type="dxa" w:w="2592"/>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Consolas" w:hAnsi="Consolas"/>
                <w:b/>
                <w:i w:val="0"/>
                <w:color w:val="1A5C3A"/>
                <w:sz w:val="19"/>
              </w:rPr>
              <w:t>CRON_SECRET</w:t>
            </w:r>
          </w:p>
        </w:tc>
        <w:tc>
          <w:tcPr>
            <w:tcW w:type="dxa" w:w="4608"/>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val="0"/>
                <w:color w:val="334155"/>
                <w:sz w:val="19"/>
              </w:rPr>
              <w:t>Clave secreta utilizada para validar que la Edge Function 'recordatorio-activacion' sea invocada únicamente por el pg_cron de Supabase.</w:t>
            </w:r>
          </w:p>
        </w:tc>
        <w:tc>
          <w:tcPr>
            <w:tcW w:type="dxa" w:w="2880"/>
            <w:shd w:fill="F8FAFC"/>
            <w:tcMar>
              <w:top w:w="100" w:type="dxa"/>
              <w:bottom w:w="100" w:type="dxa"/>
              <w:left w:w="150" w:type="dxa"/>
              <w:right w:w="150" w:type="dxa"/>
            </w:tcMar>
            <w:tcBorders>
              <w:top w:val="single" w:sz="4" w:space="0" w:color="CBD5E1"/>
              <w:bottom w:val="single" w:sz="4" w:space="0" w:color="CBD5E1"/>
              <w:left w:val="none"/>
              <w:right w:val="none"/>
            </w:tcBorders>
          </w:tcPr>
          <w:p>
            <w:pPr>
              <w:jc w:val="left"/>
            </w:pPr>
            <w:r>
              <w:rPr>
                <w:rFonts w:ascii="Arial" w:hAnsi="Arial"/>
                <w:b w:val="0"/>
                <w:i/>
                <w:color w:val="334155"/>
                <w:sz w:val="18"/>
              </w:rPr>
              <w:t>Backend: Secrets del panel de control de Supabase (Producción)</w:t>
            </w:r>
          </w:p>
        </w:tc>
      </w:tr>
    </w:tbl>
    <w:p>
      <w:pPr>
        <w:spacing w:after="240"/>
      </w:pPr>
    </w:p>
    <w:p>
      <w:pPr>
        <w:pStyle w:val="Heading1"/>
        <w:keepNext/>
        <w:spacing w:before="360" w:after="160"/>
      </w:pPr>
      <w:r>
        <w:rPr>
          <w:rFonts w:ascii="Segoe UI" w:hAnsi="Segoe UI"/>
          <w:b/>
          <w:i w:val="0"/>
          <w:color w:val="1A5C3A"/>
          <w:sz w:val="32"/>
        </w:rPr>
        <w:t>2. Configuración de CORS</w:t>
      </w:r>
    </w:p>
    <w:p>
      <w:pPr>
        <w:spacing w:after="160"/>
      </w:pPr>
      <w:r>
        <w:rPr>
          <w:rFonts w:ascii="Arial" w:hAnsi="Arial"/>
          <w:b w:val="0"/>
          <w:i w:val="0"/>
          <w:color w:val="334155"/>
          <w:sz w:val="22"/>
        </w:rPr>
        <w:t>CORS (Cross-Origin Resource Sharing) es un mecanismo de seguridad implementado por los navegadores web que restringe las solicitudes HTTP cruzadas entre distintos dominios. En el proyecto UFCA, esto permite que el frontend consuma de manera segura los servicios expuestos en el backend de Supabase.</w:t>
      </w:r>
    </w:p>
    <w:p>
      <w:pPr>
        <w:pStyle w:val="ListBullet"/>
        <w:spacing w:after="80"/>
      </w:pPr>
      <w:r>
        <w:rPr>
          <w:rFonts w:ascii="Arial" w:hAnsi="Arial"/>
          <w:b/>
          <w:i w:val="0"/>
          <w:color w:val="1A5C3A"/>
          <w:sz w:val="22"/>
        </w:rPr>
        <w:t xml:space="preserve">API Gateway de Supabase: </w:t>
      </w:r>
      <w:r>
        <w:rPr>
          <w:rFonts w:ascii="Arial" w:hAnsi="Arial"/>
          <w:b w:val="0"/>
          <w:i w:val="0"/>
          <w:color w:val="334155"/>
          <w:sz w:val="22"/>
        </w:rPr>
        <w:t>Para las consultas directas de datos y autenticación, el servidor Kong de Supabase gestiona las cabeceras CORS de manera nativa. Admite peticiones del origen frontend configurado en la sección 'API settings' de Supabase.</w:t>
      </w:r>
    </w:p>
    <w:p>
      <w:pPr>
        <w:pStyle w:val="ListBullet"/>
        <w:spacing w:after="240"/>
      </w:pPr>
      <w:r>
        <w:rPr>
          <w:rFonts w:ascii="Arial" w:hAnsi="Arial"/>
          <w:b/>
          <w:i w:val="0"/>
          <w:color w:val="1A5C3A"/>
          <w:sz w:val="22"/>
        </w:rPr>
        <w:t xml:space="preserve">Edge Functions personalizadas: </w:t>
      </w:r>
      <w:r>
        <w:rPr>
          <w:rFonts w:ascii="Arial" w:hAnsi="Arial"/>
          <w:b w:val="0"/>
          <w:i w:val="0"/>
          <w:color w:val="334155"/>
          <w:sz w:val="22"/>
        </w:rPr>
        <w:t>Dado que las Edge Functions (escritas en Deno) actúan como endpoints HTTP independientes, estas controlan CORS manualmente en su lógica interna respondiendo a las peticiones preflight (método OPTIONS) enviadas por el navegador.</w:t>
      </w:r>
    </w:p>
    <w:p>
      <w:pPr>
        <w:keepNext/>
        <w:spacing w:before="120" w:after="80"/>
      </w:pPr>
      <w:r>
        <w:rPr>
          <w:rFonts w:ascii="Arial" w:hAnsi="Arial"/>
          <w:b/>
          <w:i w:val="0"/>
          <w:color w:val="64748B"/>
          <w:sz w:val="20"/>
        </w:rPr>
        <w:t>Ejemplo de Implementación de Cabeceras CORS en Edge Functions:</w:t>
      </w:r>
    </w:p>
    <w:tbl>
      <w:tblPr>
        <w:tblW w:type="auto" w:w="0"/>
        <w:jc w:val="center"/>
        <w:tblLook w:firstColumn="1" w:firstRow="1" w:lastColumn="0" w:lastRow="0" w:noHBand="0" w:noVBand="1" w:val="04A0"/>
      </w:tblPr>
      <w:tblGrid>
        <w:gridCol w:w="9360"/>
      </w:tblGrid>
      <w:tr>
        <w:tc>
          <w:tcPr>
            <w:tcW w:type="dxa" w:w="9792"/>
            <w:shd w:fill="F1F5F9"/>
            <w:tcMar>
              <w:top w:w="140" w:type="dxa"/>
              <w:bottom w:w="140" w:type="dxa"/>
              <w:left w:w="200" w:type="dxa"/>
              <w:right w:w="200" w:type="dxa"/>
            </w:tcMar>
            <w:tcBorders>
              <w:top w:val="none"/>
              <w:bottom w:val="none"/>
              <w:left w:val="single" w:sz="24" w:space="0" w:color="1A5C3A"/>
              <w:right w:val="none"/>
            </w:tcBorders>
          </w:tcPr>
          <w:p>
            <w:pPr>
              <w:spacing w:before="0" w:after="0"/>
            </w:pPr>
            <w:r>
              <w:rPr>
                <w:rFonts w:ascii="Consolas" w:hAnsi="Consolas"/>
                <w:b w:val="0"/>
                <w:i w:val="0"/>
                <w:color w:val="1E293B"/>
                <w:sz w:val="18"/>
              </w:rPr>
              <w:t>const corsHeaders = {</w:t>
              <w:br/>
              <w:t xml:space="preserve">  'Access-Control-Allow-Origin': '*',</w:t>
              <w:br/>
              <w:t xml:space="preserve">  'Access-Control-Allow-Headers': 'authorization, x-client-info, apikey, content-type',</w:t>
              <w:br/>
              <w:t xml:space="preserve">  'Access-Control-Allow-Methods': 'POST, OPTIONS',</w:t>
              <w:br/>
              <w:t>};</w:t>
              <w:br/>
              <w:br/>
              <w:t>serve(async (req) =&gt; {</w:t>
              <w:br/>
              <w:t xml:space="preserve">  // Interceptar petición preflight del navegador</w:t>
              <w:br/>
              <w:t xml:space="preserve">  if (req.method === 'OPTIONS') {</w:t>
              <w:br/>
              <w:t xml:space="preserve">    return new Response('ok', { headers: corsHeaders });</w:t>
              <w:br/>
              <w:t xml:space="preserve">  }</w:t>
              <w:br/>
              <w:t xml:space="preserve">  // ... resto de la lógica de negocio ...</w:t>
              <w:br/>
              <w:t>});</w:t>
            </w:r>
          </w:p>
        </w:tc>
      </w:tr>
    </w:tbl>
    <w:p>
      <w:pPr>
        <w:spacing w:after="240"/>
      </w:pPr>
    </w:p>
    <w:p>
      <w:pPr>
        <w:pStyle w:val="Heading1"/>
        <w:keepNext/>
        <w:spacing w:before="360" w:after="160"/>
      </w:pPr>
      <w:r>
        <w:rPr>
          <w:rFonts w:ascii="Segoe UI" w:hAnsi="Segoe UI"/>
          <w:b/>
          <w:i w:val="0"/>
          <w:color w:val="1A5C3A"/>
          <w:sz w:val="32"/>
        </w:rPr>
        <w:t>3. Conexión a la Base de Datos y su Protección</w:t>
      </w:r>
    </w:p>
    <w:p>
      <w:pPr>
        <w:spacing w:after="200"/>
      </w:pPr>
      <w:r>
        <w:rPr>
          <w:rFonts w:ascii="Arial" w:hAnsi="Arial"/>
          <w:b w:val="0"/>
          <w:i w:val="0"/>
          <w:color w:val="334155"/>
          <w:sz w:val="22"/>
        </w:rPr>
        <w:t>El backend de base de datos de UFCA está construido sobre PostgreSQL, provisto por la infraestructura en la nube de Supabase. El acceso a los recursos y la integridad de los datos financieros se protegen a través de múltiples capas de seguridad lógica:</w:t>
      </w:r>
    </w:p>
    <w:p>
      <w:pPr>
        <w:spacing w:after="160"/>
        <w:ind w:left="360"/>
      </w:pPr>
      <w:r>
        <w:rPr>
          <w:rFonts w:ascii="Arial" w:hAnsi="Arial"/>
          <w:b/>
          <w:i w:val="0"/>
          <w:color w:val="1A5C3A"/>
          <w:sz w:val="22"/>
        </w:rPr>
        <w:t xml:space="preserve">•  Row Level Security (RLS): </w:t>
      </w:r>
      <w:r>
        <w:rPr>
          <w:rFonts w:ascii="Arial" w:hAnsi="Arial"/>
          <w:b w:val="0"/>
          <w:i w:val="0"/>
          <w:color w:val="334155"/>
          <w:sz w:val="22"/>
        </w:rPr>
        <w:t>Es el núcleo de la protección de datos en UFCA. Aunque la clave anónima (anon key) está expuesta en los clientes web y móvil, no es posible leer ni escribir ningún registro sin cumplir con las reglas explícitas de PostgreSQL. Por ejemplo, un usuario asociado solo puede visualizar sus propias cuentas de ahorro, transacciones y solicitudes de crédito, denegándosele cualquier intento de lectura o modificación sobre registros de terceros.</w:t>
      </w:r>
    </w:p>
    <w:p>
      <w:pPr>
        <w:spacing w:after="160"/>
        <w:ind w:left="360"/>
      </w:pPr>
      <w:r>
        <w:rPr>
          <w:rFonts w:ascii="Arial" w:hAnsi="Arial"/>
          <w:b/>
          <w:i w:val="0"/>
          <w:color w:val="1A5C3A"/>
          <w:sz w:val="22"/>
        </w:rPr>
        <w:t xml:space="preserve">•  Tokenización JWT (Supabase Auth): </w:t>
      </w:r>
      <w:r>
        <w:rPr>
          <w:rFonts w:ascii="Arial" w:hAnsi="Arial"/>
          <w:b w:val="0"/>
          <w:i w:val="0"/>
          <w:color w:val="334155"/>
          <w:sz w:val="22"/>
        </w:rPr>
        <w:t>Una vez que un usuario inicia sesión, Supabase expide un JSON Web Token (JWT) firmado de forma criptográfica que viaja en la cabecera HTTP de cada consulta. PostgreSQL valida el rol y el UID contenido en el token del cliente en tiempo real para autorizar las sentencias SQL correspondientes.</w:t>
      </w:r>
    </w:p>
    <w:p>
      <w:pPr>
        <w:spacing w:after="160"/>
        <w:ind w:left="360"/>
      </w:pPr>
      <w:r>
        <w:rPr>
          <w:rFonts w:ascii="Arial" w:hAnsi="Arial"/>
          <w:b/>
          <w:i w:val="0"/>
          <w:color w:val="1A5C3A"/>
          <w:sz w:val="22"/>
        </w:rPr>
        <w:t xml:space="preserve">•  Clave de Rol de Servicio (Service Role): </w:t>
      </w:r>
      <w:r>
        <w:rPr>
          <w:rFonts w:ascii="Arial" w:hAnsi="Arial"/>
          <w:b w:val="0"/>
          <w:i w:val="0"/>
          <w:color w:val="334155"/>
          <w:sz w:val="22"/>
        </w:rPr>
        <w:t>Ciertas operaciones administrativas que requieren saltarse el control RLS (ej. invitar usuarios por correo, gestionar el estado global del sistema o eliminar cuentas) se realizan mediante la clave 'service_role'. Esta clave reside únicamente en los servidores seguros de las Edge Functions y NUNCA es enviada a los clientes front-end.</w:t>
      </w:r>
    </w:p>
    <w:p>
      <w:pPr>
        <w:spacing w:after="160"/>
        <w:ind w:left="360"/>
      </w:pPr>
      <w:r>
        <w:rPr>
          <w:rFonts w:ascii="Arial" w:hAnsi="Arial"/>
          <w:b/>
          <w:i w:val="0"/>
          <w:color w:val="1A5C3A"/>
          <w:sz w:val="22"/>
        </w:rPr>
        <w:t xml:space="preserve">•  Cifrado TLS/SSL en Tránsito: </w:t>
      </w:r>
      <w:r>
        <w:rPr>
          <w:rFonts w:ascii="Arial" w:hAnsi="Arial"/>
          <w:b w:val="0"/>
          <w:i w:val="0"/>
          <w:color w:val="334155"/>
          <w:sz w:val="22"/>
        </w:rPr>
        <w:t>Toda comunicación entre el cliente (Vite/Capacitor) y la API REST/PostgreSQL de Supabase se canaliza forzosamente a través de HTTPS/TLS, impidiendo ataques de interceptación (man-in-the-middle).</w:t>
      </w:r>
    </w:p>
    <w:p>
      <w:pPr>
        <w:spacing w:after="240"/>
      </w:pPr>
    </w:p>
    <w:p>
      <w:pPr>
        <w:pStyle w:val="Heading1"/>
        <w:keepNext/>
        <w:spacing w:before="360" w:after="160"/>
      </w:pPr>
      <w:r>
        <w:rPr>
          <w:rFonts w:ascii="Segoe UI" w:hAnsi="Segoe UI"/>
          <w:b/>
          <w:i w:val="0"/>
          <w:color w:val="1A5C3A"/>
          <w:sz w:val="32"/>
        </w:rPr>
        <w:t>4. Direccionamiento a Producción en la App Móvil</w:t>
      </w:r>
    </w:p>
    <w:p>
      <w:pPr>
        <w:spacing w:after="200"/>
      </w:pPr>
      <w:r>
        <w:rPr>
          <w:rFonts w:ascii="Arial" w:hAnsi="Arial"/>
          <w:b w:val="0"/>
          <w:i w:val="0"/>
          <w:color w:val="334155"/>
          <w:sz w:val="22"/>
        </w:rPr>
        <w:t>Dado que la aplicación móvil se compila y empaqueta en un instalador nativo (APK para Android, por ejemplo) a través de Capacitor, no es factible acceder a variables de entorno del sistema operativo móvil durante la ejecución. El direccionamiento a los endpoints de producción se resuelve en tiempo de compilación (Build Time):</w:t>
      </w:r>
    </w:p>
    <w:p>
      <w:pPr>
        <w:spacing w:after="160"/>
        <w:ind w:left="360"/>
      </w:pPr>
      <w:r>
        <w:rPr>
          <w:rFonts w:ascii="Arial" w:hAnsi="Arial"/>
          <w:b/>
          <w:i w:val="0"/>
          <w:color w:val="1A5C3A"/>
          <w:sz w:val="22"/>
        </w:rPr>
        <w:t xml:space="preserve">1.  Sustitución estática en el empaquetado: </w:t>
      </w:r>
      <w:r>
        <w:rPr>
          <w:rFonts w:ascii="Arial" w:hAnsi="Arial"/>
          <w:b w:val="0"/>
          <w:i w:val="0"/>
          <w:color w:val="334155"/>
          <w:sz w:val="22"/>
        </w:rPr>
        <w:t>Vite lee las variables definidas en 'mobile-app/.env' (o '.env.production'). Durante la ejecución del comando 'npm run build', Vite reemplaza cada ocurrencia de 'import.meta.env.VITE_SUPABASE_URL' y 'import.meta.env.VITE_SUPABASE_ANON_KEY' por sus respectivos valores literales del servidor de producción, inyectándolos directamente en los archivos JavaScript finales compilados en el directorio 'dist/'.</w:t>
      </w:r>
    </w:p>
    <w:p>
      <w:pPr>
        <w:spacing w:after="160"/>
        <w:ind w:left="360"/>
      </w:pPr>
      <w:r>
        <w:rPr>
          <w:rFonts w:ascii="Arial" w:hAnsi="Arial"/>
          <w:b/>
          <w:i w:val="0"/>
          <w:color w:val="1A5C3A"/>
          <w:sz w:val="22"/>
        </w:rPr>
        <w:t xml:space="preserve">2.  Sincronización con el contenedor nativo: </w:t>
      </w:r>
      <w:r>
        <w:rPr>
          <w:rFonts w:ascii="Arial" w:hAnsi="Arial"/>
          <w:b w:val="0"/>
          <w:i w:val="0"/>
          <w:color w:val="334155"/>
          <w:sz w:val="22"/>
        </w:rPr>
        <w:t>El comando de Capacitor 'npx cap sync' copia recursivamente la carpeta 'dist/' compilada (que ya contiene los endpoints estáticos de producción) dentro de la estructura nativa de la aplicación (por ejemplo, en el directorio de activos de Android: 'android/app/src/main/assets/public').</w:t>
      </w:r>
    </w:p>
    <w:p>
      <w:pPr>
        <w:spacing w:after="160"/>
        <w:ind w:left="360"/>
      </w:pPr>
      <w:r>
        <w:rPr>
          <w:rFonts w:ascii="Arial" w:hAnsi="Arial"/>
          <w:b/>
          <w:i w:val="0"/>
          <w:color w:val="1A5C3A"/>
          <w:sz w:val="22"/>
        </w:rPr>
        <w:t xml:space="preserve">3.  Ejecución en dispositivo: </w:t>
      </w:r>
      <w:r>
        <w:rPr>
          <w:rFonts w:ascii="Arial" w:hAnsi="Arial"/>
          <w:b w:val="0"/>
          <w:i w:val="0"/>
          <w:color w:val="334155"/>
          <w:sz w:val="22"/>
        </w:rPr>
        <w:t>Al abrir la aplicación móvil, el motor web nativo del dispositivo (WebView) ejecuta los archivos JavaScript locales previamente empaquetados. Al instanciarse el cliente de Supabase, este se conecta de manera directa e inmediata a la URL del backend de producción del proyecto UFCA.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