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7C954">
      <w:pPr>
        <w:pStyle w:val="31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Pregunta de investigación (geografía):</w:t>
      </w:r>
    </w:p>
    <w:p w14:paraId="2C8871C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¿Qué relación existe entre la ubicación de las cafeterías de especialidad y la gentrificación comercial en Bogotá?</w:t>
      </w:r>
    </w:p>
    <w:p w14:paraId="3982B999">
      <w:pPr>
        <w:pStyle w:val="31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52A8FA6A">
      <w:pPr>
        <w:rPr>
          <w:rFonts w:hint="default" w:ascii="Times New Roman" w:hAnsi="Times New Roman" w:cs="Times New Roman"/>
          <w:color w:val="auto"/>
          <w:lang w:val="es-CO"/>
        </w:rPr>
      </w:pPr>
      <w:r>
        <w:rPr>
          <w:rFonts w:hint="default" w:ascii="Times New Roman" w:hAnsi="Times New Roman" w:cs="Times New Roman"/>
          <w:color w:val="auto"/>
        </w:rPr>
        <w:t>En Bogotá, pudimos encontrar que los posibles procesos de gentrificación comercial incluyen el centro histórico (en especial: Santa Fe, La Alameda y Las Nieves), La Macarena y sectores del Chapinero (como Pardo Rubio y El Refugio).  Además de esto, se han documentado transformaciones en el pericentro norte, entre las calles 65 y 75 y las carreras 7.ª y 13.ª.</w:t>
      </w:r>
      <w:r>
        <w:rPr>
          <w:rFonts w:hint="default" w:ascii="Times New Roman" w:hAnsi="Times New Roman" w:cs="Times New Roman"/>
          <w:color w:val="auto"/>
          <w:lang w:val="es-CO"/>
        </w:rPr>
        <w:t xml:space="preserve"> Estas zonas combinan renovación urbana, llegada de residentes o consumidores con mayor poder adquisitivo, aumento de los precios del suelo y reemplazo de negocios tradicionales por restaurantes, cafés, galerías, bares, comercio cultural o vivienda orientada a nuevos públicos.</w:t>
      </w:r>
    </w:p>
    <w:p w14:paraId="40FBC61F">
      <w:pPr>
        <w:rPr>
          <w:rFonts w:hint="default" w:ascii="Times New Roman" w:hAnsi="Times New Roman" w:cs="Times New Roman"/>
          <w:color w:val="auto"/>
          <w:lang w:val="es-CO"/>
        </w:rPr>
      </w:pPr>
      <w:r>
        <w:rPr>
          <w:rFonts w:hint="default" w:ascii="Times New Roman" w:hAnsi="Times New Roman" w:cs="Times New Roman"/>
          <w:color w:val="auto"/>
          <w:lang w:val="es-CO"/>
        </w:rPr>
        <w:t>Las cafeterías de especialidad pueden llegar a relacionarse con esos procesos, dado que son orientados a nuevos hábitos de consumo y pueden acompañar la renovación del paisaje comercial, sin embargo, los resultados disponibles no ofrecen un inventario georreferenciado que permita afirmar en qué barrios o localidades se concentras más ni demostrar que estas causen gentrificación.</w:t>
      </w:r>
    </w:p>
    <w:p w14:paraId="7D99495F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1. La Macarena</w:t>
      </w:r>
    </w:p>
    <w:p w14:paraId="7CA0BA4B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La Macarena, en la localidad de Santa Fe, es uno de los casos más claros. Investigaciones sobre el barrio describen el reemplazo progresivo de inquilinatos, edificios deteriorados y actividades asociadas a población de menores ingresos por apartamentos remodelados, restaurantes y galerías de arte.</w:t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"https://cienciassociales.uniandes.edu.co/historia-geografia/publicaciones/la-ciudad-maquillada-gentrificacion-en-el-barrio-la-macarena/" \t "_blank"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38"/>
          <w:rFonts w:hint="default" w:ascii="Times New Roman" w:hAnsi="Times New Roman" w:cs="Times New Roman"/>
          <w:color w:val="auto"/>
          <w:u w:val="single"/>
        </w:rPr>
        <w:t>cienciassociales.uniandes.edu</w:t>
      </w:r>
      <w:r>
        <w:rPr>
          <w:rStyle w:val="38"/>
          <w:rFonts w:hint="default" w:ascii="Times New Roman" w:hAnsi="Times New Roman" w:cs="Times New Roman"/>
          <w:color w:val="auto"/>
          <w:u w:val="single"/>
        </w:rPr>
        <w:fldChar w:fldCharType="end"/>
      </w:r>
    </w:p>
    <w:p w14:paraId="3D17C7F5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En 2026, vecinos también han cuestionado proyectos de </w:t>
      </w:r>
      <w:r>
        <w:rPr>
          <w:rStyle w:val="13"/>
          <w:rFonts w:hint="default" w:ascii="Times New Roman" w:hAnsi="Times New Roman" w:cs="Times New Roman" w:eastAsiaTheme="majorEastAsia"/>
          <w:color w:val="auto"/>
        </w:rPr>
        <w:t>coliving</w:t>
      </w:r>
      <w:r>
        <w:rPr>
          <w:rFonts w:hint="default" w:ascii="Times New Roman" w:hAnsi="Times New Roman" w:cs="Times New Roman"/>
          <w:color w:val="auto"/>
        </w:rPr>
        <w:t xml:space="preserve"> y nuevas inversiones inmobiliarias por su posible impacto sobre la identidad del barrio. El sector es reconocido por sus galerías, librerías, restaurantes y cafés de especialidad, actividades que pueden funcionar como señales de valorización y transformación del comercio local.</w:t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"https://elpais.com/america-colombia/2026-09-19/los-intelectuales-del-barrio-bohemio-de-la-macarena-arremeten-contra-la-gentrificacion-de-un-coliving.html" \t "_blank"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38"/>
          <w:rFonts w:hint="default" w:ascii="Times New Roman" w:hAnsi="Times New Roman" w:cs="Times New Roman"/>
          <w:color w:val="auto"/>
          <w:u w:val="single"/>
        </w:rPr>
        <w:t>elpais</w:t>
      </w:r>
      <w:r>
        <w:rPr>
          <w:rStyle w:val="38"/>
          <w:rFonts w:hint="default" w:ascii="Times New Roman" w:hAnsi="Times New Roman" w:cs="Times New Roman"/>
          <w:color w:val="auto"/>
          <w:u w:val="single"/>
        </w:rPr>
        <w:fldChar w:fldCharType="end"/>
      </w:r>
    </w:p>
    <w:p w14:paraId="545ECD75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2. Centro histórico y pericentro</w:t>
      </w:r>
    </w:p>
    <w:p w14:paraId="53FCD7F8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El centro de Bogotá —especialmente los barrios Santa Fe, La Alameda y Las Nieves— presenta procesos de renovación, turistificación y cambio en los usos comerciales. Estos sectores concentran población flotante, turistas y migrantes, y han experimentado modificaciones en su composición social y económica.</w:t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"http://erevistas.saber.ula.ve/index.php/regeoven/article/download/21083/21921932914" \t "_blank"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38"/>
          <w:rFonts w:hint="default" w:ascii="Times New Roman" w:hAnsi="Times New Roman" w:cs="Times New Roman"/>
          <w:color w:val="auto"/>
          <w:u w:val="single"/>
        </w:rPr>
        <w:t>erevistas.saber.ula</w:t>
      </w:r>
      <w:r>
        <w:rPr>
          <w:rStyle w:val="38"/>
          <w:rFonts w:hint="default" w:ascii="Times New Roman" w:hAnsi="Times New Roman" w:cs="Times New Roman"/>
          <w:color w:val="auto"/>
          <w:u w:val="single"/>
        </w:rPr>
        <w:fldChar w:fldCharType="end"/>
      </w:r>
    </w:p>
    <w:p w14:paraId="25F63676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También hay indicios en sectores como:</w:t>
      </w:r>
    </w:p>
    <w:p w14:paraId="71941FE3">
      <w:pPr>
        <w:pStyle w:val="36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La Candelaria.</w:t>
      </w:r>
    </w:p>
    <w:p w14:paraId="5A982B31">
      <w:pPr>
        <w:pStyle w:val="36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Las Nieves.</w:t>
      </w:r>
    </w:p>
    <w:p w14:paraId="1ABDEE04">
      <w:pPr>
        <w:pStyle w:val="36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La Alameda.</w:t>
      </w:r>
    </w:p>
    <w:p w14:paraId="0360C28F">
      <w:pPr>
        <w:pStyle w:val="36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Algunos bordes del barrio Santa Fe.</w:t>
      </w:r>
    </w:p>
    <w:p w14:paraId="321496C8">
      <w:pPr>
        <w:pStyle w:val="36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Entornos cercanos a universidades, museos, equipamientos culturales y proyectos de renovación urbana.</w:t>
      </w:r>
    </w:p>
    <w:p w14:paraId="5AE93E49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Sin embargo, el centro no es homogéneo: algunas áreas enfrentan abandono, deterioro y pérdida de residentes, mientras otras reciben nuevos comercios culturales, restaurantes, hostales, cafés y proyectos inmobiliarios. Por eso conviene hablar de </w:t>
      </w:r>
      <w:r>
        <w:rPr>
          <w:rStyle w:val="15"/>
          <w:rFonts w:hint="default" w:ascii="Times New Roman" w:hAnsi="Times New Roman" w:cs="Times New Roman" w:eastAsiaTheme="majorEastAsia"/>
          <w:color w:val="auto"/>
        </w:rPr>
        <w:t>procesos localizados</w:t>
      </w:r>
      <w:r>
        <w:rPr>
          <w:rFonts w:hint="default" w:ascii="Times New Roman" w:hAnsi="Times New Roman" w:cs="Times New Roman"/>
          <w:color w:val="auto"/>
        </w:rPr>
        <w:t xml:space="preserve"> y no de una gentrificación uniforme de todo el centro.</w:t>
      </w:r>
    </w:p>
    <w:p w14:paraId="4107693C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3. Chapinero Alto, Pardo Rubio y El Refugio</w:t>
      </w:r>
    </w:p>
    <w:p w14:paraId="545D0028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El borde oriental de Chapinero es otra zona relevante. Estudios académicos identifican transformaciones relacionadas con</w:t>
      </w:r>
      <w:r>
        <w:rPr>
          <w:rFonts w:hint="default" w:cs="Times New Roman"/>
          <w:color w:val="auto"/>
          <w:lang w:val="es-CO"/>
        </w:rPr>
        <w:t>:</w:t>
      </w:r>
      <w:r>
        <w:rPr>
          <w:rFonts w:hint="default" w:ascii="Times New Roman" w:hAnsi="Times New Roman" w:cs="Times New Roman"/>
          <w:color w:val="auto"/>
        </w:rPr>
        <w:t xml:space="preserve"> cambio de uso del suelo, crecimiento en altura, presión sobre la infraestructura, aumento de la densidad, elitización y posible expulsión de habitantes originales. El área analizada comprende principalmente la UPZ Pardo Rubio y una parte de la UPZ El Refugio.</w:t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"http://www.scielo.org.co/scielo.php?script=sci_arttext&amp;pid=S0123-37692017000100033" \t "_blank"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38"/>
          <w:rFonts w:hint="default" w:ascii="Times New Roman" w:hAnsi="Times New Roman" w:cs="Times New Roman"/>
          <w:color w:val="auto"/>
          <w:u w:val="single"/>
        </w:rPr>
        <w:t>scielo.org</w:t>
      </w:r>
      <w:r>
        <w:rPr>
          <w:rStyle w:val="38"/>
          <w:rFonts w:hint="default" w:ascii="Times New Roman" w:hAnsi="Times New Roman" w:cs="Times New Roman"/>
          <w:color w:val="auto"/>
          <w:u w:val="single"/>
        </w:rPr>
        <w:fldChar w:fldCharType="end"/>
      </w:r>
    </w:p>
    <w:p w14:paraId="0EDBE4D0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También se han documentado presiones inmobiliarias sobre barrios de origen informal como Bosque Calderón, Santo Domingo y sectores cercanos a Chapinero Alto. Estas dinámicas se relacionan con la búsqueda de suelo para proyectos residenciales de alta rentabilidad.</w:t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"https://repository.unipiloto.edu.co/handle/20.500.12277/3342" \t "_blank"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38"/>
          <w:rFonts w:hint="default" w:ascii="Times New Roman" w:hAnsi="Times New Roman" w:cs="Times New Roman"/>
          <w:color w:val="auto"/>
          <w:u w:val="single"/>
        </w:rPr>
        <w:t>repository.unipiloto.edu</w:t>
      </w:r>
      <w:r>
        <w:rPr>
          <w:rStyle w:val="38"/>
          <w:rFonts w:hint="default" w:ascii="Times New Roman" w:hAnsi="Times New Roman" w:cs="Times New Roman"/>
          <w:color w:val="auto"/>
          <w:u w:val="single"/>
        </w:rPr>
        <w:fldChar w:fldCharType="end"/>
      </w:r>
    </w:p>
    <w:p w14:paraId="2F96F870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Chapinero Alto, además, ha ganado visibilidad como zona gastronómica, cultural y de consumo especializado. La llegada de nuevos restaurantes, cafés, alojamientos y negocios dirigidos a públicos de mayores ingresos puede reforzar la valorización del sector. No obstante, una investigación sobre movilidad residencial entre 2012 y 2017 advierte que no se observaron procesos de gentrificación marcados en toda la localidad, sino distintos procesos de reemplazo poblacional.</w:t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"https://repository.javeriana.edu.co/handle/10554/45333" \t "_blank"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38"/>
          <w:rFonts w:hint="default" w:ascii="Times New Roman" w:hAnsi="Times New Roman" w:cs="Times New Roman"/>
          <w:color w:val="auto"/>
          <w:u w:val="single"/>
        </w:rPr>
        <w:t>repository.javeriana.edu</w:t>
      </w:r>
      <w:r>
        <w:rPr>
          <w:rStyle w:val="38"/>
          <w:rFonts w:hint="default" w:ascii="Times New Roman" w:hAnsi="Times New Roman" w:cs="Times New Roman"/>
          <w:color w:val="auto"/>
          <w:u w:val="single"/>
        </w:rPr>
        <w:fldChar w:fldCharType="end"/>
      </w:r>
    </w:p>
    <w:p w14:paraId="1AB93C51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4. Chapinero central y sectores de la Zona Rosa</w:t>
      </w:r>
    </w:p>
    <w:p w14:paraId="4F4BAF1D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Chapinero central, la Zona Rosa, el entorno de la Calle 72 y sectores cercanos a la Carrera 7.ª y la Carrera 13 presentan una fuerte concentración de actividades comerciales, gastronómicas, corporativas y de entretenimiento.</w:t>
      </w:r>
    </w:p>
    <w:p w14:paraId="2589D483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Estos lugares pueden considerarse </w:t>
      </w:r>
      <w:r>
        <w:rPr>
          <w:rStyle w:val="15"/>
          <w:rFonts w:hint="default" w:ascii="Times New Roman" w:hAnsi="Times New Roman" w:cs="Times New Roman" w:eastAsiaTheme="majorEastAsia"/>
          <w:color w:val="auto"/>
        </w:rPr>
        <w:t>áreas de posible gentrificación comercial</w:t>
      </w:r>
      <w:r>
        <w:rPr>
          <w:rFonts w:hint="default" w:ascii="Times New Roman" w:hAnsi="Times New Roman" w:cs="Times New Roman"/>
          <w:color w:val="auto"/>
        </w:rPr>
        <w:t xml:space="preserve"> por varios indicios:</w:t>
      </w:r>
    </w:p>
    <w:p w14:paraId="33AA6B6D">
      <w:pPr>
        <w:pStyle w:val="36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Reemplazo de comercios cotidianos por restaurantes, bares, cafés y tiendas especializadas.</w:t>
      </w:r>
    </w:p>
    <w:p w14:paraId="2BE7F32A">
      <w:pPr>
        <w:pStyle w:val="36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Mayor presencia de marcas dirigidas a consumidores de ingresos medios y altos.</w:t>
      </w:r>
    </w:p>
    <w:p w14:paraId="7C685F6E">
      <w:pPr>
        <w:pStyle w:val="36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Renovación de locales y edificios.</w:t>
      </w:r>
    </w:p>
    <w:p w14:paraId="4B22029C">
      <w:pPr>
        <w:pStyle w:val="36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Incremento de la actividad inmobiliaria.</w:t>
      </w:r>
    </w:p>
    <w:p w14:paraId="72CAFA0E">
      <w:pPr>
        <w:pStyle w:val="36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Proximidad a zonas de alta renta como Rosales, El Nogal, La Cabrera y el Chicó.</w:t>
      </w:r>
    </w:p>
    <w:p w14:paraId="6FE7CDB0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En este caso, es importante distinguir entre gentrificación comercial y gentrificación residencial: puede cambiar el tipo de comercio sin que exista todavía una expulsión generalizada de residentes.</w:t>
      </w:r>
    </w:p>
    <w:p w14:paraId="2ACADAA4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5. Teusaquillo y sectores cercanos</w:t>
      </w:r>
    </w:p>
    <w:p w14:paraId="4332893D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Teusaquillo —en especial barrios como Quinta Camacho y algunos sectores próximos a Chapinero— presenta condiciones favorables para la transformación comercial. Su arquitectura patrimonial, localización central, conectividad y oferta cultural han favorecido la aparición de restaurantes, cafés, oficinas creativas, hostales y negocios de diseño.</w:t>
      </w:r>
    </w:p>
    <w:p w14:paraId="04C7C3D4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El pericentro norte de Bogotá, asociado históricamente con sectores residenciales de clase media y alta de Teusaquillo y Chapinero, ha sido identificado como un espacio de cambios sociales y urbanos vinculados con valorización, exclusividad y transformación de usos.</w:t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"http://www.scielo.org.co/pdf/pgeo/v22n1/0123-3769-pgeo-22-01-00033.pdf" \t "_blank"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38"/>
          <w:rFonts w:hint="default" w:ascii="Times New Roman" w:hAnsi="Times New Roman" w:cs="Times New Roman"/>
          <w:color w:val="auto"/>
          <w:u w:val="single"/>
        </w:rPr>
        <w:t>scielo.org</w:t>
      </w:r>
      <w:r>
        <w:rPr>
          <w:rStyle w:val="38"/>
          <w:rFonts w:hint="default" w:ascii="Times New Roman" w:hAnsi="Times New Roman" w:cs="Times New Roman"/>
          <w:color w:val="auto"/>
          <w:u w:val="single"/>
        </w:rPr>
        <w:fldChar w:fldCharType="end"/>
      </w:r>
    </w:p>
    <w:p w14:paraId="7EB0473F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Quinta Camacho es un caso especialmente útil para estudiar la relación entre patrimonio, gastronomía, cafés de especialidad, oficinas y valorización inmobiliaria.</w:t>
      </w:r>
    </w:p>
    <w:p w14:paraId="4BAA34AC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6. Usaquén y Cedritos</w:t>
      </w:r>
    </w:p>
    <w:p w14:paraId="5BB37CD4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Usaquén, especialmente el centro histórico y sus alrededores, también puede incluirse como zona de posible transformación comercial. La combinación de patrimonio, turismo, restaurantes, comercio gastronómico y nuevos proyectos residenciales ha convertido el sector en un polo de consumo de mayores ingresos.</w:t>
      </w:r>
    </w:p>
    <w:p w14:paraId="0FC8C2C3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En Cedritos y otros sectores del norte, la construcción de vivienda en altura y la sustitución de comercios locales por restaurantes, cafés, gimnasios, servicios especializados y establecimientos dirigidos a clases medias y altas constituyen indicios de valorización comercial. Sin embargo, la evidencia académica sobre gentrificación en estos sectores es menos consolidada que en La Macarena, Chapinero o el centro.</w:t>
      </w:r>
    </w:p>
    <w:p w14:paraId="23E45BFA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Matriz de zonas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4"/>
        <w:gridCol w:w="5068"/>
        <w:gridCol w:w="1456"/>
      </w:tblGrid>
      <w:tr w14:paraId="4AE254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AA954F3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Zona</w:t>
            </w:r>
          </w:p>
        </w:tc>
        <w:tc>
          <w:tcPr>
            <w:tcW w:w="0" w:type="auto"/>
            <w:vAlign w:val="center"/>
          </w:tcPr>
          <w:p w14:paraId="1D2C9A90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Indicios principales</w:t>
            </w:r>
          </w:p>
        </w:tc>
        <w:tc>
          <w:tcPr>
            <w:tcW w:w="0" w:type="auto"/>
            <w:vAlign w:val="center"/>
          </w:tcPr>
          <w:p w14:paraId="53324733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Nivel de evidencia</w:t>
            </w:r>
          </w:p>
        </w:tc>
      </w:tr>
      <w:tr w14:paraId="761895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E018E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La Macarena</w:t>
            </w:r>
          </w:p>
        </w:tc>
        <w:tc>
          <w:tcPr>
            <w:tcW w:w="0" w:type="auto"/>
            <w:vAlign w:val="center"/>
          </w:tcPr>
          <w:p w14:paraId="1B2840D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 xml:space="preserve">Restaurantes, galerías, cafés, remodelación de vivienda, proyectos de </w:t>
            </w:r>
            <w:r>
              <w:rPr>
                <w:rStyle w:val="13"/>
                <w:rFonts w:hint="default" w:ascii="Times New Roman" w:hAnsi="Times New Roman" w:cs="Times New Roman"/>
                <w:color w:val="auto"/>
              </w:rPr>
              <w:t>coliving</w:t>
            </w:r>
            <w:r>
              <w:rPr>
                <w:rFonts w:hint="default" w:ascii="Times New Roman" w:hAnsi="Times New Roman" w:cs="Times New Roman"/>
                <w:color w:val="auto"/>
              </w:rPr>
              <w:t xml:space="preserve"> y disputa por la identidad barrial</w:t>
            </w:r>
          </w:p>
        </w:tc>
        <w:tc>
          <w:tcPr>
            <w:tcW w:w="0" w:type="auto"/>
            <w:vAlign w:val="center"/>
          </w:tcPr>
          <w:p w14:paraId="724C59A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Alto</w:t>
            </w:r>
          </w:p>
        </w:tc>
      </w:tr>
      <w:tr w14:paraId="71652F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2328B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Centro histórico</w:t>
            </w:r>
          </w:p>
        </w:tc>
        <w:tc>
          <w:tcPr>
            <w:tcW w:w="0" w:type="auto"/>
            <w:vAlign w:val="center"/>
          </w:tcPr>
          <w:p w14:paraId="67DD0A2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Renovación, turismo, cambio de usos, nuevos comercios culturales y desplazamiento de actividades tradicionales</w:t>
            </w:r>
          </w:p>
        </w:tc>
        <w:tc>
          <w:tcPr>
            <w:tcW w:w="0" w:type="auto"/>
            <w:vAlign w:val="center"/>
          </w:tcPr>
          <w:p w14:paraId="25DB840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Alto, aunque desigual</w:t>
            </w:r>
          </w:p>
        </w:tc>
      </w:tr>
      <w:tr w14:paraId="3B108D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DC205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Chapinero Alto y Pardo Rubio</w:t>
            </w:r>
          </w:p>
        </w:tc>
        <w:tc>
          <w:tcPr>
            <w:tcW w:w="0" w:type="auto"/>
            <w:vAlign w:val="center"/>
          </w:tcPr>
          <w:p w14:paraId="04D241C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Presión inmobiliaria, crecimiento en altura, elitización y conflictos con barrios populares</w:t>
            </w:r>
          </w:p>
        </w:tc>
        <w:tc>
          <w:tcPr>
            <w:tcW w:w="0" w:type="auto"/>
            <w:vAlign w:val="center"/>
          </w:tcPr>
          <w:p w14:paraId="1131B59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Alto</w:t>
            </w:r>
          </w:p>
        </w:tc>
      </w:tr>
      <w:tr w14:paraId="333206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179FD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El Refugio y sectores orientales de Chapinero</w:t>
            </w:r>
          </w:p>
        </w:tc>
        <w:tc>
          <w:tcPr>
            <w:tcW w:w="0" w:type="auto"/>
            <w:vAlign w:val="center"/>
          </w:tcPr>
          <w:p w14:paraId="765C5A0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Alta renta, inversión inmobiliaria y reemplazo de usos residenciales</w:t>
            </w:r>
          </w:p>
        </w:tc>
        <w:tc>
          <w:tcPr>
            <w:tcW w:w="0" w:type="auto"/>
            <w:vAlign w:val="center"/>
          </w:tcPr>
          <w:p w14:paraId="4FF633E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Medio-alto</w:t>
            </w:r>
          </w:p>
        </w:tc>
      </w:tr>
      <w:tr w14:paraId="3EC034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3D9C2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Chapinero central y Zona Rosa</w:t>
            </w:r>
          </w:p>
        </w:tc>
        <w:tc>
          <w:tcPr>
            <w:tcW w:w="0" w:type="auto"/>
            <w:vAlign w:val="center"/>
          </w:tcPr>
          <w:p w14:paraId="539D796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Gastronomía, entretenimiento, oficinas y comercio dirigido a consumidores de mayor ingreso</w:t>
            </w:r>
          </w:p>
        </w:tc>
        <w:tc>
          <w:tcPr>
            <w:tcW w:w="0" w:type="auto"/>
            <w:vAlign w:val="center"/>
          </w:tcPr>
          <w:p w14:paraId="5B469B4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Medio</w:t>
            </w:r>
          </w:p>
        </w:tc>
      </w:tr>
      <w:tr w14:paraId="26157E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BB808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Quinta Camacho y Teusaquillo</w:t>
            </w:r>
          </w:p>
        </w:tc>
        <w:tc>
          <w:tcPr>
            <w:tcW w:w="0" w:type="auto"/>
            <w:vAlign w:val="center"/>
          </w:tcPr>
          <w:p w14:paraId="2A3D99E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Patrimonio, restaurantes, cafés, oficinas creativas y valorización</w:t>
            </w:r>
          </w:p>
        </w:tc>
        <w:tc>
          <w:tcPr>
            <w:tcW w:w="0" w:type="auto"/>
            <w:vAlign w:val="center"/>
          </w:tcPr>
          <w:p w14:paraId="1844E518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Medio</w:t>
            </w:r>
          </w:p>
        </w:tc>
      </w:tr>
      <w:tr w14:paraId="3D2CEF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A196A4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Usaquén</w:t>
            </w:r>
          </w:p>
        </w:tc>
        <w:tc>
          <w:tcPr>
            <w:tcW w:w="0" w:type="auto"/>
            <w:vAlign w:val="center"/>
          </w:tcPr>
          <w:p w14:paraId="4F1CCB4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Turismo, gastronomía, patrimonio y nuevos proyectos residenciales</w:t>
            </w:r>
          </w:p>
        </w:tc>
        <w:tc>
          <w:tcPr>
            <w:tcW w:w="0" w:type="auto"/>
            <w:vAlign w:val="center"/>
          </w:tcPr>
          <w:p w14:paraId="1EAF1107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Medio</w:t>
            </w:r>
          </w:p>
        </w:tc>
      </w:tr>
      <w:tr w14:paraId="35C3B3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F805B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Cedritos</w:t>
            </w:r>
          </w:p>
        </w:tc>
        <w:tc>
          <w:tcPr>
            <w:tcW w:w="0" w:type="auto"/>
            <w:vAlign w:val="center"/>
          </w:tcPr>
          <w:p w14:paraId="68FFA4C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Densificación y sustitución de comercio local por servicios especializados</w:t>
            </w:r>
          </w:p>
        </w:tc>
        <w:tc>
          <w:tcPr>
            <w:tcW w:w="0" w:type="auto"/>
            <w:vAlign w:val="center"/>
          </w:tcPr>
          <w:p w14:paraId="32605C5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Medio-bajo</w:t>
            </w:r>
          </w:p>
        </w:tc>
      </w:tr>
    </w:tbl>
    <w:p w14:paraId="2FBD8DF4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Respuesta sintética</w:t>
      </w:r>
    </w:p>
    <w:p w14:paraId="15FBA3DB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Una respuesta posible sería:</w:t>
      </w:r>
    </w:p>
    <w:p w14:paraId="71C9D6B5">
      <w:pPr>
        <w:pStyle w:val="36"/>
        <w:rPr>
          <w:rStyle w:val="38"/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En Bogotá, los principales indicios de gentrificación comercial se observan en La Macarena, el centro histórico —especialmente Santa Fe, La Alameda y Las Nieves—, Chapinero Alto, Pardo Rubio, El Refugio, Chapinero central, Quinta Camacho y algunos sectores de Usaquén. En estas áreas, la llegada de restaurantes, cafés de especialidad, galerías, bares, oficinas creativas y proyectos inmobiliarios coincide con la valorización del suelo y el reemplazo de comercios o residentes tradicionales. La Macarena y Chapinero son los casos con mayor respaldo en la literatura, aunque algunos estudios señalan que en Chapinero puede hablarse más precisamente de reemplazo poblacional y presión inmobiliaria que de una gentrificación plenamente consolidada.</w:t>
      </w:r>
      <w:r>
        <w:rPr>
          <w:rStyle w:val="38"/>
          <w:rFonts w:hint="default" w:ascii="Times New Roman" w:hAnsi="Times New Roman" w:cs="Times New Roman"/>
          <w:color w:val="auto"/>
        </w:rPr>
        <w:t>cienciassociales.uniandes.edu</w:t>
      </w:r>
      <w:r>
        <w:rPr>
          <w:rStyle w:val="39"/>
          <w:rFonts w:hint="default" w:ascii="Times New Roman" w:hAnsi="Times New Roman" w:cs="Times New Roman"/>
          <w:color w:val="auto"/>
        </w:rPr>
        <w:t>+4</w:t>
      </w:r>
    </w:p>
    <w:p w14:paraId="1E1E830E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Enlaces:</w:t>
      </w:r>
    </w:p>
    <w:p w14:paraId="74980170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"https://cienciassociales.uniandes.edu.co/historia-geografia/publicaciones/la-ciudad-maquillada-gentrificacion-en-el-barrio-la-macarena/"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14"/>
          <w:rFonts w:hint="default" w:ascii="Times New Roman" w:hAnsi="Times New Roman" w:cs="Times New Roman"/>
          <w:color w:val="auto"/>
        </w:rPr>
        <w:t>https://cienciassociales.uniandes.edu.co/historia-geografia/publicaciones/la-ciudad-maquillada-gentrificacion-en-el-barrio-la-macarena/</w:t>
      </w:r>
      <w:r>
        <w:rPr>
          <w:rStyle w:val="14"/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33759CF2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"https://elpais.com/america-colombia/2026-09-19/los-intelectuales-del-barrio-bohemio-de-la-macarena-arremeten-contra-la-gentrificacion-de-un-coliving.html"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14"/>
          <w:rFonts w:hint="default" w:ascii="Times New Roman" w:hAnsi="Times New Roman" w:cs="Times New Roman"/>
          <w:color w:val="auto"/>
        </w:rPr>
        <w:t>https://elpais.com/america-colombia/2026-09-19/los-intelectuales-del-barrio-bohemio-de-la-macarena-arremeten-contra-la-gentrificacion-de-un-coliving.html</w:t>
      </w:r>
      <w:r>
        <w:rPr>
          <w:rStyle w:val="14"/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3E40A240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"http://erevistas.saber.ula.ve/index.php/regeoven/article/download/21083/21921932914"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14"/>
          <w:rFonts w:hint="default" w:ascii="Times New Roman" w:hAnsi="Times New Roman" w:cs="Times New Roman"/>
          <w:color w:val="auto"/>
        </w:rPr>
        <w:t>http://erevistas.saber.ula.ve/index.php/regeoven/article/dow</w:t>
      </w:r>
      <w:bookmarkStart w:id="0" w:name="_GoBack"/>
      <w:bookmarkEnd w:id="0"/>
      <w:r>
        <w:rPr>
          <w:rStyle w:val="14"/>
          <w:rFonts w:hint="default" w:ascii="Times New Roman" w:hAnsi="Times New Roman" w:cs="Times New Roman"/>
          <w:color w:val="auto"/>
        </w:rPr>
        <w:t>nload/21083/21921932914</w:t>
      </w:r>
      <w:r>
        <w:rPr>
          <w:rStyle w:val="14"/>
          <w:rFonts w:hint="default" w:ascii="Times New Roman" w:hAnsi="Times New Roman" w:cs="Times New Roman"/>
          <w:color w:val="auto"/>
        </w:rPr>
        <w:fldChar w:fldCharType="end"/>
      </w:r>
    </w:p>
    <w:p w14:paraId="7CF79373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"http://www.scielo.org.co/scielo.php?script=sci_arttext&amp;pid=S0123-37692017000100033"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14"/>
          <w:rFonts w:hint="default" w:ascii="Times New Roman" w:hAnsi="Times New Roman" w:cs="Times New Roman"/>
          <w:color w:val="auto"/>
        </w:rPr>
        <w:t>http://www.scielo.org.co/scielo.php?script=sci_arttext&amp;pid=S0123-37692017000100033</w:t>
      </w:r>
      <w:r>
        <w:rPr>
          <w:rStyle w:val="14"/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02B9875C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"https://repository.unipiloto.edu.co/handle/20.500.12277/3342"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14"/>
          <w:rFonts w:hint="default" w:ascii="Times New Roman" w:hAnsi="Times New Roman" w:cs="Times New Roman"/>
          <w:color w:val="auto"/>
        </w:rPr>
        <w:t>https://repository.unipiloto.edu.co/handle/20.500.12277/3342</w:t>
      </w:r>
      <w:r>
        <w:rPr>
          <w:rStyle w:val="14"/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731B1F88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"https://repository.javeriana.edu.co/handle/10554/45333"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14"/>
          <w:rFonts w:hint="default" w:ascii="Times New Roman" w:hAnsi="Times New Roman" w:cs="Times New Roman"/>
          <w:color w:val="auto"/>
        </w:rPr>
        <w:t>https://repository.javeriana.edu.co/handle/10554/45333</w:t>
      </w:r>
      <w:r>
        <w:rPr>
          <w:rStyle w:val="14"/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3EF133A5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"https://www.bbc.com/mundo/articles/c60qxqeyx8xjo"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14"/>
          <w:rFonts w:hint="default" w:ascii="Times New Roman" w:hAnsi="Times New Roman" w:cs="Times New Roman"/>
          <w:color w:val="auto"/>
        </w:rPr>
        <w:t>https://www.bbc.com/mundo/articles/c60qxqeyx8xjo</w:t>
      </w:r>
      <w:r>
        <w:rPr>
          <w:rStyle w:val="14"/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7F5DA3CC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"https://www.redalyc.org/journal/1251/125175399003/html/"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14"/>
          <w:rFonts w:hint="default" w:ascii="Times New Roman" w:hAnsi="Times New Roman" w:cs="Times New Roman"/>
          <w:color w:val="auto"/>
        </w:rPr>
        <w:t>https://www.redalyc.org/journal/1251/125175399003/html/</w:t>
      </w:r>
      <w:r>
        <w:rPr>
          <w:rStyle w:val="14"/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16221A93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"https://portal.amelica.org/ameli/jatsRepo/395/3951698005/movil/index.html"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14"/>
          <w:rFonts w:hint="default" w:ascii="Times New Roman" w:hAnsi="Times New Roman" w:cs="Times New Roman"/>
          <w:color w:val="auto"/>
        </w:rPr>
        <w:t>https://portal.amelica.org/ameli/jatsRepo/395/3951698005/movil/index.html</w:t>
      </w:r>
      <w:r>
        <w:rPr>
          <w:rStyle w:val="14"/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6407F3BF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"https://redcol.minciencias.gov.co/Record/UNIANDES2_30757327e2d50e84864e0421effdf182"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14"/>
          <w:rFonts w:hint="default" w:ascii="Times New Roman" w:hAnsi="Times New Roman" w:cs="Times New Roman"/>
          <w:color w:val="auto"/>
        </w:rPr>
        <w:t>https://redcol.minciencias.gov.co/Record/UNIANDES2_30757327e2d50e84864e0421effdf182</w:t>
      </w:r>
      <w:r>
        <w:rPr>
          <w:rStyle w:val="14"/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252527B0">
      <w:pPr>
        <w:pStyle w:val="36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HYPERLINK "https://www.eltiempo.com/bogota/bogota-es-el-centro-un-buen-lugar-para-vivir-780717"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Style w:val="14"/>
          <w:rFonts w:hint="default" w:ascii="Times New Roman" w:hAnsi="Times New Roman" w:cs="Times New Roman"/>
          <w:color w:val="auto"/>
        </w:rPr>
        <w:t>https://www.eltiempo.com/bogota/bogota-es-el-centro-un-buen-lugar-para-vivir-780717</w:t>
      </w:r>
      <w:r>
        <w:rPr>
          <w:rStyle w:val="14"/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51A8DA0F">
      <w:pPr>
        <w:pStyle w:val="36"/>
        <w:rPr>
          <w:rFonts w:hint="default" w:ascii="Times New Roman" w:hAnsi="Times New Roman" w:cs="Times New Roman"/>
          <w:color w:val="auto"/>
        </w:rPr>
      </w:pPr>
    </w:p>
    <w:p w14:paraId="4390CF11">
      <w:pPr>
        <w:rPr>
          <w:rFonts w:hint="default" w:ascii="Times New Roman" w:hAnsi="Times New Roman" w:cs="Times New Roman"/>
          <w:color w:val="auto"/>
        </w:rPr>
      </w:pPr>
    </w:p>
    <w:p w14:paraId="6AF19D44">
      <w:pPr>
        <w:rPr>
          <w:rFonts w:hint="default" w:ascii="Times New Roman" w:hAnsi="Times New Roman" w:cs="Times New Roman"/>
          <w:color w:val="auto"/>
        </w:rPr>
      </w:pPr>
    </w:p>
    <w:p w14:paraId="76EABA51">
      <w:pPr>
        <w:pStyle w:val="31"/>
        <w:rPr>
          <w:rFonts w:hint="default" w:ascii="Times New Roman" w:hAnsi="Times New Roman" w:cs="Times New Roman"/>
          <w:color w:val="auto"/>
        </w:rPr>
      </w:pPr>
    </w:p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932B3E"/>
    <w:multiLevelType w:val="multilevel"/>
    <w:tmpl w:val="04932B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2C8454B"/>
    <w:multiLevelType w:val="multilevel"/>
    <w:tmpl w:val="42C8454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5F55D4"/>
    <w:multiLevelType w:val="multilevel"/>
    <w:tmpl w:val="775F55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4FE"/>
    <w:rsid w:val="002F18DA"/>
    <w:rsid w:val="00395B6A"/>
    <w:rsid w:val="005255EC"/>
    <w:rsid w:val="006C32D3"/>
    <w:rsid w:val="00854517"/>
    <w:rsid w:val="00A424FE"/>
    <w:rsid w:val="00BB2B17"/>
    <w:rsid w:val="00D46228"/>
    <w:rsid w:val="00E30878"/>
    <w:rsid w:val="692B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s-CO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Título 1 C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Título 2 C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Título 3 C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Título 4 C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Título 5 C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Título 6 C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7 C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ítulo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9 C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ítulo C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ítulo C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Cita C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Cita destacada C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6">
    <w:name w:val="my-2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CO"/>
      <w14:ligatures w14:val="none"/>
    </w:rPr>
  </w:style>
  <w:style w:type="character" w:customStyle="1" w:styleId="37">
    <w:name w:val="citation"/>
    <w:basedOn w:val="11"/>
    <w:uiPriority w:val="0"/>
  </w:style>
  <w:style w:type="character" w:customStyle="1" w:styleId="38">
    <w:name w:val="inline-block"/>
    <w:basedOn w:val="11"/>
    <w:uiPriority w:val="0"/>
  </w:style>
  <w:style w:type="character" w:customStyle="1" w:styleId="39">
    <w:name w:val="opacity-50"/>
    <w:basedOn w:val="11"/>
    <w:uiPriority w:val="0"/>
  </w:style>
  <w:style w:type="character" w:customStyle="1" w:styleId="40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969</Words>
  <Characters>5996</Characters>
  <Lines>82</Lines>
  <Paragraphs>23</Paragraphs>
  <TotalTime>53</TotalTime>
  <ScaleCrop>false</ScaleCrop>
  <LinksUpToDate>false</LinksUpToDate>
  <CharactersWithSpaces>6923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2026-10-07T18:46:00Z</dcterms:created>
  <dc:creator>Prestamo Estudiantes</dc:creator>
  <cp:lastModifiedBy>mariana muñoz</cp:lastModifiedBy>
  <dcterms:modified xsi:type="dcterms:W3CDTF">2026-10-08T01:30:31Z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eyJoZGlkIjoiYzQxNzI1ZGZjY2VhODE5YWFmZjUyMWQ2NjRlMGZiMjMiLCJ1c2VySWQiOiIyMTk5MDI3OTUzNTQ2In0=</vt:lpwstr>
  </property>
  <property fmtid="{D5CDD505-2E9C-101B-9397-08002B2CF9AE}" pid="3" name="KSOProductBuildVer">
    <vt:lpwstr>2058-12.1.0.28485</vt:lpwstr>
  </property>
  <property fmtid="{D5CDD505-2E9C-101B-9397-08002B2CF9AE}" pid="4" name="ICV">
    <vt:lpwstr>9C3163714C2E45AA9AE8A6056FE3E0BE_13</vt:lpwstr>
  </property>
</Properties>
</file>