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52BF" w:rsidRPr="006E32C1" w:rsidRDefault="00C33C57">
      <w:pPr>
        <w:rPr>
          <w:rFonts w:ascii="Times New Roman" w:hAnsi="Times New Roman" w:cs="Times New Roman"/>
          <w:sz w:val="24"/>
          <w:szCs w:val="24"/>
          <w:lang w:val="es-CO"/>
        </w:rPr>
      </w:pPr>
      <w:r w:rsidRPr="006E32C1">
        <w:rPr>
          <w:rFonts w:ascii="Times New Roman" w:hAnsi="Times New Roman" w:cs="Times New Roman"/>
          <w:sz w:val="24"/>
          <w:szCs w:val="24"/>
          <w:lang w:val="es-CO"/>
        </w:rPr>
        <w:t>Resumen de revisión:</w:t>
      </w:r>
    </w:p>
    <w:p w:rsidR="00A41B72" w:rsidRDefault="00A41B72">
      <w:pPr>
        <w:rPr>
          <w:rFonts w:ascii="Times New Roman" w:hAnsi="Times New Roman" w:cs="Times New Roman"/>
          <w:sz w:val="24"/>
          <w:szCs w:val="24"/>
        </w:rPr>
      </w:pPr>
      <w:r w:rsidRPr="006E32C1">
        <w:rPr>
          <w:rFonts w:ascii="Times New Roman" w:hAnsi="Times New Roman" w:cs="Times New Roman"/>
          <w:sz w:val="24"/>
          <w:szCs w:val="24"/>
        </w:rPr>
        <w:t xml:space="preserve">¿Cuál es la relación entre la localización de las cafeterías de especialidad y los indicadores de valorización comercial en las unidades de planeación zonal (UPZ) de Bogotá? </w:t>
      </w:r>
    </w:p>
    <w:p w:rsidR="00C33C57" w:rsidRPr="007F1F62" w:rsidRDefault="00C33C57">
      <w:pPr>
        <w:rPr>
          <w:rFonts w:ascii="Times New Roman" w:hAnsi="Times New Roman" w:cs="Times New Roman"/>
          <w:b/>
          <w:sz w:val="24"/>
          <w:szCs w:val="24"/>
          <w:lang w:val="es-CO"/>
        </w:rPr>
      </w:pPr>
      <w:r w:rsidRPr="007F1F62">
        <w:rPr>
          <w:rFonts w:ascii="Times New Roman" w:hAnsi="Times New Roman" w:cs="Times New Roman"/>
          <w:b/>
          <w:sz w:val="24"/>
          <w:szCs w:val="24"/>
          <w:lang w:val="es-CO"/>
        </w:rPr>
        <w:t>Introducción:</w:t>
      </w:r>
    </w:p>
    <w:p w:rsidR="00C33C57" w:rsidRPr="006E32C1" w:rsidRDefault="00C33C57">
      <w:pPr>
        <w:rPr>
          <w:rFonts w:ascii="Times New Roman" w:hAnsi="Times New Roman" w:cs="Times New Roman"/>
          <w:sz w:val="24"/>
          <w:szCs w:val="24"/>
          <w:lang w:val="es-CO"/>
        </w:rPr>
      </w:pPr>
      <w:r w:rsidRPr="006E32C1">
        <w:rPr>
          <w:rFonts w:ascii="Times New Roman" w:hAnsi="Times New Roman" w:cs="Times New Roman"/>
          <w:sz w:val="24"/>
          <w:szCs w:val="24"/>
          <w:lang w:val="es-CO"/>
        </w:rPr>
        <w:t xml:space="preserve">La gentrificación comercial es el proceso mediante el cual los negocios tradicionales de un barrio son reemplazados de forma gradual por comercios que van dirigidos a un público con mayor poder adquisitivo, como cafés de especialidad, por ejemplo. </w:t>
      </w:r>
      <w:r w:rsidR="005E31F3" w:rsidRPr="006E32C1">
        <w:rPr>
          <w:rFonts w:ascii="Times New Roman" w:hAnsi="Times New Roman" w:cs="Times New Roman"/>
          <w:sz w:val="24"/>
          <w:szCs w:val="24"/>
          <w:lang w:val="es-CO"/>
        </w:rPr>
        <w:t>Se puede definir como una especie de desplazamiento comercial, que da espacio al asentamiento de nuevos lugares dirigidos a otro tipo de consumidores con otros intereses.</w:t>
      </w:r>
      <w:r w:rsidR="007F1F62">
        <w:rPr>
          <w:rFonts w:ascii="Times New Roman" w:hAnsi="Times New Roman" w:cs="Times New Roman"/>
          <w:sz w:val="24"/>
          <w:szCs w:val="24"/>
          <w:lang w:val="es-CO"/>
        </w:rPr>
        <w:t xml:space="preserve"> </w:t>
      </w:r>
      <w:sdt>
        <w:sdtPr>
          <w:rPr>
            <w:rFonts w:ascii="Times New Roman" w:hAnsi="Times New Roman" w:cs="Times New Roman"/>
            <w:sz w:val="24"/>
            <w:szCs w:val="24"/>
          </w:rPr>
          <w:id w:val="188814937"/>
          <w:citation/>
        </w:sdtPr>
        <w:sdtContent>
          <w:r w:rsidR="007F1F62" w:rsidRPr="006E32C1">
            <w:rPr>
              <w:rFonts w:ascii="Times New Roman" w:hAnsi="Times New Roman" w:cs="Times New Roman"/>
              <w:sz w:val="24"/>
              <w:szCs w:val="24"/>
            </w:rPr>
            <w:fldChar w:fldCharType="begin"/>
          </w:r>
          <w:r w:rsidR="007F1F62" w:rsidRPr="006E32C1">
            <w:rPr>
              <w:rFonts w:ascii="Times New Roman" w:hAnsi="Times New Roman" w:cs="Times New Roman"/>
              <w:sz w:val="24"/>
              <w:szCs w:val="24"/>
              <w:lang w:val="es-CO"/>
            </w:rPr>
            <w:instrText xml:space="preserve"> CITATION Cor17 \l 9226 </w:instrText>
          </w:r>
          <w:r w:rsidR="007F1F62" w:rsidRPr="006E32C1">
            <w:rPr>
              <w:rFonts w:ascii="Times New Roman" w:hAnsi="Times New Roman" w:cs="Times New Roman"/>
              <w:sz w:val="24"/>
              <w:szCs w:val="24"/>
            </w:rPr>
            <w:fldChar w:fldCharType="separate"/>
          </w:r>
          <w:r w:rsidR="007F1F62" w:rsidRPr="006E32C1">
            <w:rPr>
              <w:rFonts w:ascii="Times New Roman" w:hAnsi="Times New Roman" w:cs="Times New Roman"/>
              <w:noProof/>
              <w:sz w:val="24"/>
              <w:szCs w:val="24"/>
              <w:lang w:val="es-CO"/>
            </w:rPr>
            <w:t>(Cordero Gómez del Campo, 2017)</w:t>
          </w:r>
          <w:r w:rsidR="007F1F62" w:rsidRPr="006E32C1">
            <w:rPr>
              <w:rFonts w:ascii="Times New Roman" w:hAnsi="Times New Roman" w:cs="Times New Roman"/>
              <w:sz w:val="24"/>
              <w:szCs w:val="24"/>
            </w:rPr>
            <w:fldChar w:fldCharType="end"/>
          </w:r>
        </w:sdtContent>
      </w:sdt>
    </w:p>
    <w:p w:rsidR="00D52D45" w:rsidRDefault="00D52D45" w:rsidP="00D52D45">
      <w:pPr>
        <w:pStyle w:val="NormalWeb"/>
      </w:pPr>
      <w:r w:rsidRPr="006E32C1">
        <w:t>Este estudio describe la distribución espacial de las cafeterías de especialidad en las unidades de planeación zonal (UPZ) de Bogotá y la contrasta con indicadores de valorización comercial.</w:t>
      </w:r>
      <w:r w:rsidRPr="006E32C1">
        <w:t xml:space="preserve"> </w:t>
      </w:r>
    </w:p>
    <w:p w:rsidR="00737C28" w:rsidRDefault="007F1F62" w:rsidP="00D52D45">
      <w:pPr>
        <w:pStyle w:val="NormalWeb"/>
      </w:pPr>
      <w:r>
        <w:t>Una unidad de planeación zonal agrupa a un conjunto de barrios que comparten dinámicas sociales, económicas o geográficas similares, subdivide la ciudad en áreas más pequeñas que una localidad, pero más grandes que un barrio.</w:t>
      </w:r>
      <w:r>
        <w:t xml:space="preserve"> </w:t>
      </w:r>
    </w:p>
    <w:p w:rsidR="005E31F3" w:rsidRDefault="005E31F3">
      <w:pPr>
        <w:rPr>
          <w:rFonts w:ascii="Times New Roman" w:hAnsi="Times New Roman" w:cs="Times New Roman"/>
          <w:sz w:val="24"/>
          <w:szCs w:val="24"/>
          <w:lang w:val="es-CO"/>
        </w:rPr>
      </w:pPr>
      <w:r w:rsidRPr="006E32C1">
        <w:rPr>
          <w:rFonts w:ascii="Times New Roman" w:hAnsi="Times New Roman" w:cs="Times New Roman"/>
          <w:sz w:val="24"/>
          <w:szCs w:val="24"/>
          <w:lang w:val="es-CO"/>
        </w:rPr>
        <w:t>Las cafeterías de especialidad encajan con el patrón de los nuevos consumidores al vender una experiencia diferenciada y nueva</w:t>
      </w:r>
      <w:r w:rsidR="00044AB4" w:rsidRPr="006E32C1">
        <w:rPr>
          <w:rFonts w:ascii="Times New Roman" w:hAnsi="Times New Roman" w:cs="Times New Roman"/>
          <w:sz w:val="24"/>
          <w:szCs w:val="24"/>
          <w:lang w:val="es-CO"/>
        </w:rPr>
        <w:t>, en la cual se destac</w:t>
      </w:r>
      <w:bookmarkStart w:id="0" w:name="_GoBack"/>
      <w:bookmarkEnd w:id="0"/>
      <w:r w:rsidR="00044AB4" w:rsidRPr="006E32C1">
        <w:rPr>
          <w:rFonts w:ascii="Times New Roman" w:hAnsi="Times New Roman" w:cs="Times New Roman"/>
          <w:sz w:val="24"/>
          <w:szCs w:val="24"/>
          <w:lang w:val="es-CO"/>
        </w:rPr>
        <w:t>an aspectos como el origen, la calidad sensorial, el diseño, la innovación, entre otros.</w:t>
      </w:r>
      <w:r w:rsidR="0052415E">
        <w:rPr>
          <w:rFonts w:ascii="Times New Roman" w:hAnsi="Times New Roman" w:cs="Times New Roman"/>
          <w:sz w:val="24"/>
          <w:szCs w:val="24"/>
          <w:lang w:val="es-CO"/>
        </w:rPr>
        <w:t xml:space="preserve"> </w:t>
      </w:r>
    </w:p>
    <w:p w:rsidR="00A156BB" w:rsidRPr="0036471D" w:rsidRDefault="00A156BB">
      <w:pPr>
        <w:rPr>
          <w:rFonts w:ascii="Times New Roman" w:hAnsi="Times New Roman" w:cs="Times New Roman"/>
          <w:b/>
          <w:sz w:val="24"/>
          <w:szCs w:val="24"/>
          <w:lang w:val="es-CO"/>
        </w:rPr>
      </w:pPr>
      <w:r w:rsidRPr="0036471D">
        <w:rPr>
          <w:rFonts w:ascii="Times New Roman" w:hAnsi="Times New Roman" w:cs="Times New Roman"/>
          <w:b/>
          <w:sz w:val="24"/>
          <w:szCs w:val="24"/>
          <w:lang w:val="es-CO"/>
        </w:rPr>
        <w:t>¿Qué se revisó y qué se sabe?</w:t>
      </w:r>
    </w:p>
    <w:p w:rsidR="00A41B72" w:rsidRPr="0036471D" w:rsidRDefault="0052415E">
      <w:pPr>
        <w:rPr>
          <w:rFonts w:ascii="Times New Roman" w:hAnsi="Times New Roman" w:cs="Times New Roman"/>
          <w:sz w:val="24"/>
          <w:szCs w:val="24"/>
          <w:lang w:val="es-CO"/>
        </w:rPr>
      </w:pPr>
      <w:r>
        <w:rPr>
          <w:rFonts w:ascii="Times New Roman" w:hAnsi="Times New Roman" w:cs="Times New Roman"/>
          <w:sz w:val="24"/>
          <w:szCs w:val="24"/>
        </w:rPr>
        <w:t>Se revisaron 6 fuentes académicas, 1 de prensa y 1 de literatura gris, gracias a las cuales s</w:t>
      </w:r>
      <w:r w:rsidR="00A41B72">
        <w:rPr>
          <w:rFonts w:ascii="Times New Roman" w:hAnsi="Times New Roman" w:cs="Times New Roman"/>
          <w:sz w:val="24"/>
          <w:szCs w:val="24"/>
        </w:rPr>
        <w:t>e sabe que se han visto reemplazos de tiendas de barrio por restaurantes y cafés de alta gama</w:t>
      </w:r>
      <w:r>
        <w:rPr>
          <w:rFonts w:ascii="Times New Roman" w:hAnsi="Times New Roman" w:cs="Times New Roman"/>
          <w:sz w:val="24"/>
          <w:szCs w:val="24"/>
        </w:rPr>
        <w:t xml:space="preserve"> en barrios específicos de Bogotá, como La Candelaria (Manrique Gómez, 2013) y el borde oriental de Chapinero (Sepúlveda Corzo, 2017)</w:t>
      </w:r>
      <w:r w:rsidR="00A41B72">
        <w:rPr>
          <w:rFonts w:ascii="Times New Roman" w:hAnsi="Times New Roman" w:cs="Times New Roman"/>
          <w:sz w:val="24"/>
          <w:szCs w:val="24"/>
        </w:rPr>
        <w:t xml:space="preserve">, que han llevado al descontento de algunos ciudadanos, por ejemplo, los intelectuales del barrio bohemio la Macarena </w:t>
      </w:r>
      <w:sdt>
        <w:sdtPr>
          <w:rPr>
            <w:rFonts w:ascii="Times New Roman" w:hAnsi="Times New Roman" w:cs="Times New Roman"/>
            <w:sz w:val="24"/>
            <w:szCs w:val="24"/>
          </w:rPr>
          <w:id w:val="540253270"/>
          <w:citation/>
        </w:sdtPr>
        <w:sdtContent>
          <w:r w:rsidR="00A41B72">
            <w:rPr>
              <w:rFonts w:ascii="Times New Roman" w:hAnsi="Times New Roman" w:cs="Times New Roman"/>
              <w:sz w:val="24"/>
              <w:szCs w:val="24"/>
            </w:rPr>
            <w:fldChar w:fldCharType="begin"/>
          </w:r>
          <w:r w:rsidR="00A41B72">
            <w:rPr>
              <w:rFonts w:ascii="Times New Roman" w:hAnsi="Times New Roman" w:cs="Times New Roman"/>
              <w:sz w:val="24"/>
              <w:szCs w:val="24"/>
              <w:lang w:val="es-CO"/>
            </w:rPr>
            <w:instrText xml:space="preserve"> CITATION Rey26 \l 9226 </w:instrText>
          </w:r>
          <w:r w:rsidR="00A41B72">
            <w:rPr>
              <w:rFonts w:ascii="Times New Roman" w:hAnsi="Times New Roman" w:cs="Times New Roman"/>
              <w:sz w:val="24"/>
              <w:szCs w:val="24"/>
            </w:rPr>
            <w:fldChar w:fldCharType="separate"/>
          </w:r>
          <w:r w:rsidR="00A41B72" w:rsidRPr="00A41B72">
            <w:rPr>
              <w:rFonts w:ascii="Times New Roman" w:hAnsi="Times New Roman" w:cs="Times New Roman"/>
              <w:noProof/>
              <w:sz w:val="24"/>
              <w:szCs w:val="24"/>
              <w:lang w:val="es-CO"/>
            </w:rPr>
            <w:t>(Reynoso, 2026)</w:t>
          </w:r>
          <w:r w:rsidR="00A41B72">
            <w:rPr>
              <w:rFonts w:ascii="Times New Roman" w:hAnsi="Times New Roman" w:cs="Times New Roman"/>
              <w:sz w:val="24"/>
              <w:szCs w:val="24"/>
            </w:rPr>
            <w:fldChar w:fldCharType="end"/>
          </w:r>
        </w:sdtContent>
      </w:sdt>
      <w:r w:rsidR="00A41B72">
        <w:rPr>
          <w:rFonts w:ascii="Times New Roman" w:hAnsi="Times New Roman" w:cs="Times New Roman"/>
          <w:sz w:val="24"/>
          <w:szCs w:val="24"/>
        </w:rPr>
        <w:t>, sin embargo, hay autores tales como Sepúlveda Corzo, que advierten que hablar de gentrificación en barrios como Chapinero sería apresurado.</w:t>
      </w:r>
    </w:p>
    <w:p w:rsidR="00C33C57" w:rsidRPr="007F1F62" w:rsidRDefault="00C33C57">
      <w:pPr>
        <w:rPr>
          <w:rFonts w:ascii="Times New Roman" w:hAnsi="Times New Roman" w:cs="Times New Roman"/>
          <w:b/>
          <w:sz w:val="24"/>
          <w:szCs w:val="24"/>
          <w:lang w:val="es-CO"/>
        </w:rPr>
      </w:pPr>
      <w:r w:rsidRPr="007F1F62">
        <w:rPr>
          <w:rFonts w:ascii="Times New Roman" w:hAnsi="Times New Roman" w:cs="Times New Roman"/>
          <w:b/>
          <w:sz w:val="24"/>
          <w:szCs w:val="24"/>
          <w:lang w:val="es-CO"/>
        </w:rPr>
        <w:t>Gaps:</w:t>
      </w:r>
    </w:p>
    <w:p w:rsidR="00C33C57" w:rsidRPr="006E32C1" w:rsidRDefault="00F03C1B">
      <w:pPr>
        <w:rPr>
          <w:rFonts w:ascii="Times New Roman" w:hAnsi="Times New Roman" w:cs="Times New Roman"/>
          <w:sz w:val="24"/>
          <w:szCs w:val="24"/>
          <w:lang w:val="es-CO"/>
        </w:rPr>
      </w:pPr>
      <w:r w:rsidRPr="006E32C1">
        <w:rPr>
          <w:rFonts w:ascii="Times New Roman" w:hAnsi="Times New Roman" w:cs="Times New Roman"/>
          <w:sz w:val="24"/>
          <w:szCs w:val="24"/>
          <w:lang w:val="es-CO"/>
        </w:rPr>
        <w:t>Si bien podría existir una causalidad entre la ubicación de las cafeterías de especialidad y la gentrificación comercial en Bogotá, ya que puede elevar el atractivo de la cuadra, atraer personas con mayor poder</w:t>
      </w:r>
      <w:r w:rsidR="00A14100" w:rsidRPr="006E32C1">
        <w:rPr>
          <w:rFonts w:ascii="Times New Roman" w:hAnsi="Times New Roman" w:cs="Times New Roman"/>
          <w:sz w:val="24"/>
          <w:szCs w:val="24"/>
          <w:lang w:val="es-CO"/>
        </w:rPr>
        <w:t>, no está demostrado que esto realmente suceda.</w:t>
      </w:r>
    </w:p>
    <w:p w:rsidR="00A14100" w:rsidRPr="006E32C1" w:rsidRDefault="00A14100" w:rsidP="00A14100">
      <w:pPr>
        <w:pStyle w:val="NormalWeb"/>
      </w:pPr>
      <w:r w:rsidRPr="006E32C1">
        <w:t>La literatura revisada documenta la gentrificación residencial en Bogotá, pero no se encontraron estudios que midan la localización de cafeterías de especialidad ni que la relacionen con indicadores de valorización comercial.</w:t>
      </w:r>
      <w:r w:rsidRPr="006E32C1">
        <w:t xml:space="preserve"> </w:t>
      </w:r>
      <w:r w:rsidRPr="006E32C1">
        <w:t>No existe un inventario georreferenciado de cafeterías de especialidad en la ciudad.</w:t>
      </w:r>
    </w:p>
    <w:p w:rsidR="00C33C57" w:rsidRPr="007F1F62" w:rsidRDefault="00C33C57">
      <w:pPr>
        <w:rPr>
          <w:rFonts w:ascii="Times New Roman" w:hAnsi="Times New Roman" w:cs="Times New Roman"/>
          <w:b/>
          <w:sz w:val="24"/>
          <w:szCs w:val="24"/>
          <w:lang w:val="es-CO"/>
        </w:rPr>
      </w:pPr>
      <w:r w:rsidRPr="007F1F62">
        <w:rPr>
          <w:rFonts w:ascii="Times New Roman" w:hAnsi="Times New Roman" w:cs="Times New Roman"/>
          <w:b/>
          <w:sz w:val="24"/>
          <w:szCs w:val="24"/>
          <w:lang w:val="es-CO"/>
        </w:rPr>
        <w:t>Relación con la pregunta de investigación:</w:t>
      </w:r>
    </w:p>
    <w:p w:rsidR="00A41B72" w:rsidRDefault="00F03C1B" w:rsidP="00A14100">
      <w:pPr>
        <w:pStyle w:val="NormalWeb"/>
      </w:pPr>
      <w:r w:rsidRPr="006E32C1">
        <w:rPr>
          <w:lang w:val="es-CO"/>
        </w:rPr>
        <w:lastRenderedPageBreak/>
        <w:t xml:space="preserve">Los gaps corresponden a los aspectos que la literatura existente no ha abordado completamente. </w:t>
      </w:r>
      <w:r w:rsidR="00A14100" w:rsidRPr="006E32C1">
        <w:t>A partir de estos vacíos, la pregunta se precisó así: ¿Cuál es la relación entre la localización de las cafeterías de especialidad y los indicadores de valorización comercial en las unidades de planeación zonal (UPZ) de Bogotá?</w:t>
      </w:r>
      <w:r w:rsidR="00A41B72">
        <w:t xml:space="preserve"> Se utilizaron “indicadores de valorización comercial” porque al tratar de medir la “gentrificación comercial” </w:t>
      </w:r>
      <w:r w:rsidR="0052415E">
        <w:t xml:space="preserve">no existen datos que </w:t>
      </w:r>
      <w:r w:rsidR="0052415E">
        <w:t xml:space="preserve">lo </w:t>
      </w:r>
      <w:r w:rsidR="0052415E">
        <w:t>midan directamente a escala de UPZ</w:t>
      </w:r>
      <w:r w:rsidR="0052415E">
        <w:t>.</w:t>
      </w:r>
    </w:p>
    <w:p w:rsidR="005E31F3" w:rsidRPr="006E32C1" w:rsidRDefault="00A14100">
      <w:pPr>
        <w:rPr>
          <w:rFonts w:ascii="Times New Roman" w:hAnsi="Times New Roman" w:cs="Times New Roman"/>
          <w:sz w:val="24"/>
          <w:szCs w:val="24"/>
          <w:lang w:val="es-CO"/>
        </w:rPr>
      </w:pPr>
      <w:r w:rsidRPr="006E32C1">
        <w:rPr>
          <w:rFonts w:ascii="Times New Roman" w:hAnsi="Times New Roman" w:cs="Times New Roman"/>
          <w:sz w:val="24"/>
          <w:szCs w:val="24"/>
          <w:lang w:val="es-CO"/>
        </w:rPr>
        <w:t>A</w:t>
      </w:r>
      <w:r w:rsidR="00C051E7" w:rsidRPr="006E32C1">
        <w:rPr>
          <w:rFonts w:ascii="Times New Roman" w:hAnsi="Times New Roman" w:cs="Times New Roman"/>
          <w:sz w:val="24"/>
          <w:szCs w:val="24"/>
          <w:lang w:val="es-CO"/>
        </w:rPr>
        <w:t>demás de esto, estos gaps no llegan a ser una desventaja en su totalidad, ya que se puede complementar la información recolectada con las distintas causales por las que se da este fenómeno en ciertas partes de la ciudad</w:t>
      </w:r>
      <w:r w:rsidR="005E31F3" w:rsidRPr="006E32C1">
        <w:rPr>
          <w:rFonts w:ascii="Times New Roman" w:hAnsi="Times New Roman" w:cs="Times New Roman"/>
          <w:sz w:val="24"/>
          <w:szCs w:val="24"/>
          <w:lang w:val="es-CO"/>
        </w:rPr>
        <w:t>.</w:t>
      </w:r>
    </w:p>
    <w:p w:rsidR="005E31F3" w:rsidRPr="006E32C1" w:rsidRDefault="005E31F3">
      <w:pPr>
        <w:rPr>
          <w:rFonts w:ascii="Times New Roman" w:hAnsi="Times New Roman" w:cs="Times New Roman"/>
          <w:sz w:val="24"/>
          <w:szCs w:val="24"/>
          <w:lang w:val="es-CO"/>
        </w:rPr>
      </w:pPr>
    </w:p>
    <w:sectPr w:rsidR="005E31F3" w:rsidRPr="006E32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57"/>
    <w:rsid w:val="00044AB4"/>
    <w:rsid w:val="0036471D"/>
    <w:rsid w:val="0052415E"/>
    <w:rsid w:val="00574DCA"/>
    <w:rsid w:val="005E31F3"/>
    <w:rsid w:val="006E32C1"/>
    <w:rsid w:val="00737C28"/>
    <w:rsid w:val="007F1F62"/>
    <w:rsid w:val="00A14100"/>
    <w:rsid w:val="00A156BB"/>
    <w:rsid w:val="00A41B72"/>
    <w:rsid w:val="00C051E7"/>
    <w:rsid w:val="00C33C57"/>
    <w:rsid w:val="00C40BF0"/>
    <w:rsid w:val="00CD4766"/>
    <w:rsid w:val="00D52D45"/>
    <w:rsid w:val="00D952BF"/>
    <w:rsid w:val="00F03C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9E5C"/>
  <w15:chartTrackingRefBased/>
  <w15:docId w15:val="{A3EB4ED7-5C1D-4531-8E88-A9F5C33E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0BF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0BF0"/>
    <w:pPr>
      <w:ind w:left="720"/>
      <w:contextualSpacing/>
    </w:pPr>
  </w:style>
  <w:style w:type="paragraph" w:styleId="NormalWeb">
    <w:name w:val="Normal (Web)"/>
    <w:basedOn w:val="Normal"/>
    <w:uiPriority w:val="99"/>
    <w:semiHidden/>
    <w:unhideWhenUsed/>
    <w:rsid w:val="00D52D45"/>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579631">
      <w:bodyDiv w:val="1"/>
      <w:marLeft w:val="0"/>
      <w:marRight w:val="0"/>
      <w:marTop w:val="0"/>
      <w:marBottom w:val="0"/>
      <w:divBdr>
        <w:top w:val="none" w:sz="0" w:space="0" w:color="auto"/>
        <w:left w:val="none" w:sz="0" w:space="0" w:color="auto"/>
        <w:bottom w:val="none" w:sz="0" w:space="0" w:color="auto"/>
        <w:right w:val="none" w:sz="0" w:space="0" w:color="auto"/>
      </w:divBdr>
    </w:div>
    <w:div w:id="367489504">
      <w:bodyDiv w:val="1"/>
      <w:marLeft w:val="0"/>
      <w:marRight w:val="0"/>
      <w:marTop w:val="0"/>
      <w:marBottom w:val="0"/>
      <w:divBdr>
        <w:top w:val="none" w:sz="0" w:space="0" w:color="auto"/>
        <w:left w:val="none" w:sz="0" w:space="0" w:color="auto"/>
        <w:bottom w:val="none" w:sz="0" w:space="0" w:color="auto"/>
        <w:right w:val="none" w:sz="0" w:space="0" w:color="auto"/>
      </w:divBdr>
    </w:div>
    <w:div w:id="754739396">
      <w:bodyDiv w:val="1"/>
      <w:marLeft w:val="0"/>
      <w:marRight w:val="0"/>
      <w:marTop w:val="0"/>
      <w:marBottom w:val="0"/>
      <w:divBdr>
        <w:top w:val="none" w:sz="0" w:space="0" w:color="auto"/>
        <w:left w:val="none" w:sz="0" w:space="0" w:color="auto"/>
        <w:bottom w:val="none" w:sz="0" w:space="0" w:color="auto"/>
        <w:right w:val="none" w:sz="0" w:space="0" w:color="auto"/>
      </w:divBdr>
    </w:div>
    <w:div w:id="1246500436">
      <w:bodyDiv w:val="1"/>
      <w:marLeft w:val="0"/>
      <w:marRight w:val="0"/>
      <w:marTop w:val="0"/>
      <w:marBottom w:val="0"/>
      <w:divBdr>
        <w:top w:val="none" w:sz="0" w:space="0" w:color="auto"/>
        <w:left w:val="none" w:sz="0" w:space="0" w:color="auto"/>
        <w:bottom w:val="none" w:sz="0" w:space="0" w:color="auto"/>
        <w:right w:val="none" w:sz="0" w:space="0" w:color="auto"/>
      </w:divBdr>
      <w:divsChild>
        <w:div w:id="1411466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977297">
      <w:bodyDiv w:val="1"/>
      <w:marLeft w:val="0"/>
      <w:marRight w:val="0"/>
      <w:marTop w:val="0"/>
      <w:marBottom w:val="0"/>
      <w:divBdr>
        <w:top w:val="none" w:sz="0" w:space="0" w:color="auto"/>
        <w:left w:val="none" w:sz="0" w:space="0" w:color="auto"/>
        <w:bottom w:val="none" w:sz="0" w:space="0" w:color="auto"/>
        <w:right w:val="none" w:sz="0" w:space="0" w:color="auto"/>
      </w:divBdr>
    </w:div>
    <w:div w:id="1656882119">
      <w:bodyDiv w:val="1"/>
      <w:marLeft w:val="0"/>
      <w:marRight w:val="0"/>
      <w:marTop w:val="0"/>
      <w:marBottom w:val="0"/>
      <w:divBdr>
        <w:top w:val="none" w:sz="0" w:space="0" w:color="auto"/>
        <w:left w:val="none" w:sz="0" w:space="0" w:color="auto"/>
        <w:bottom w:val="none" w:sz="0" w:space="0" w:color="auto"/>
        <w:right w:val="none" w:sz="0" w:space="0" w:color="auto"/>
      </w:divBdr>
      <w:divsChild>
        <w:div w:id="1296568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871137">
      <w:bodyDiv w:val="1"/>
      <w:marLeft w:val="0"/>
      <w:marRight w:val="0"/>
      <w:marTop w:val="0"/>
      <w:marBottom w:val="0"/>
      <w:divBdr>
        <w:top w:val="none" w:sz="0" w:space="0" w:color="auto"/>
        <w:left w:val="none" w:sz="0" w:space="0" w:color="auto"/>
        <w:bottom w:val="none" w:sz="0" w:space="0" w:color="auto"/>
        <w:right w:val="none" w:sz="0" w:space="0" w:color="auto"/>
      </w:divBdr>
      <w:divsChild>
        <w:div w:id="2139641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4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825278">
      <w:bodyDiv w:val="1"/>
      <w:marLeft w:val="0"/>
      <w:marRight w:val="0"/>
      <w:marTop w:val="0"/>
      <w:marBottom w:val="0"/>
      <w:divBdr>
        <w:top w:val="none" w:sz="0" w:space="0" w:color="auto"/>
        <w:left w:val="none" w:sz="0" w:space="0" w:color="auto"/>
        <w:bottom w:val="none" w:sz="0" w:space="0" w:color="auto"/>
        <w:right w:val="none" w:sz="0" w:space="0" w:color="auto"/>
      </w:divBdr>
    </w:div>
    <w:div w:id="1926920243">
      <w:bodyDiv w:val="1"/>
      <w:marLeft w:val="0"/>
      <w:marRight w:val="0"/>
      <w:marTop w:val="0"/>
      <w:marBottom w:val="0"/>
      <w:divBdr>
        <w:top w:val="none" w:sz="0" w:space="0" w:color="auto"/>
        <w:left w:val="none" w:sz="0" w:space="0" w:color="auto"/>
        <w:bottom w:val="none" w:sz="0" w:space="0" w:color="auto"/>
        <w:right w:val="none" w:sz="0" w:space="0" w:color="auto"/>
      </w:divBdr>
      <w:divsChild>
        <w:div w:id="594092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Cor17</b:Tag>
    <b:SourceType>JournalArticle</b:SourceType>
    <b:Guid>{0823B11C-DEA1-4490-8F33-6BB30C779573}</b:Guid>
    <b:Title>Gentrificación comercial. Espacios escenificados y el modelo de los mercados gourmet</b:Title>
    <b:Year>2017</b:Year>
    <b:URL>http://revistaurbanismo.uchile.cl</b:URL>
    <b:Author>
      <b:Author>
        <b:NameList>
          <b:Person>
            <b:Last>Cordero Gómez del Campo</b:Last>
            <b:First>L.</b:First>
            <b:Middle>de L., &amp; Salinas Arreortua, L. A.</b:Middle>
          </b:Person>
        </b:NameList>
      </b:Author>
    </b:Author>
    <b:JournalName>Revista de Urbanismo</b:JournalName>
    <b:RefOrder>1</b:RefOrder>
  </b:Source>
  <b:Source>
    <b:Tag>Rey26</b:Tag>
    <b:SourceType>ArticleInAPeriodical</b:SourceType>
    <b:Guid>{60631632-B221-47D0-8DC8-B67AC4138E04}</b:Guid>
    <b:Title>Los intelectuales del barrio bohemio de La Macarena arremeten contra la gentrificación de un ‘coliving’</b:Title>
    <b:Year>2026</b:Year>
    <b:Author>
      <b:Author>
        <b:NameList>
          <b:Person>
            <b:Last>Reynoso</b:Last>
            <b:First>Lucas</b:First>
          </b:Person>
        </b:NameList>
      </b:Author>
    </b:Author>
    <b:Month>septiembre</b:Month>
    <b:URL>https://elpais.com/america-colombia/2026-09-19/los-intelectuales-del-barrio-bohemio-de-la-macarena-arremeten-contra-la-gentrificacion-de-un-coliving.html</b:URL>
    <b:RefOrder>2</b:RefOrder>
  </b:Source>
</b:Sources>
</file>

<file path=customXml/itemProps1.xml><?xml version="1.0" encoding="utf-8"?>
<ds:datastoreItem xmlns:ds="http://schemas.openxmlformats.org/officeDocument/2006/customXml" ds:itemID="{7F1652A1-DE3B-459B-8A94-813C2D34B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Pages>
  <Words>512</Words>
  <Characters>2822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Muñoz Gamboa</dc:creator>
  <cp:keywords/>
  <dc:description/>
  <cp:lastModifiedBy>Mariana Muñoz Gamboa</cp:lastModifiedBy>
  <cp:revision>5</cp:revision>
  <dcterms:created xsi:type="dcterms:W3CDTF">2026-10-21T01:56:00Z</dcterms:created>
  <dcterms:modified xsi:type="dcterms:W3CDTF">2026-10-21T05:05:00Z</dcterms:modified>
</cp:coreProperties>
</file>