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D6BD4AD">
      <w:pPr>
        <w:spacing w:after="60"/>
      </w:pPr>
      <w:r>
        <w:rPr>
          <w:rFonts w:ascii="Calibri" w:hAnsi="Calibri" w:eastAsia="Calibri" w:cs="Calibri"/>
          <w:b/>
          <w:bCs/>
          <w:color w:val="7A4A1E"/>
          <w:sz w:val="40"/>
          <w:szCs w:val="40"/>
        </w:rPr>
        <w:t>Plan de análisis</w:t>
      </w:r>
    </w:p>
    <w:p w14:paraId="78480100">
      <w:pPr>
        <w:spacing w:after="120" w:line="276" w:lineRule="auto"/>
      </w:pPr>
      <w:r>
        <w:rPr>
          <w:rFonts w:ascii="Calibri" w:hAnsi="Calibri" w:eastAsia="Calibri" w:cs="Calibri"/>
          <w:i/>
          <w:iCs/>
          <w:color w:val="595959"/>
          <w:sz w:val="22"/>
          <w:szCs w:val="22"/>
        </w:rPr>
        <w:t>Cafeterías de especialidad y valor del suelo en Bogotá: trabajo de campo (Entrega 3b)</w:t>
      </w:r>
    </w:p>
    <w:p w14:paraId="32E5CE38">
      <w:pPr>
        <w:spacing w:after="120" w:line="276" w:lineRule="auto"/>
      </w:pPr>
      <w:r>
        <w:rPr>
          <w:rFonts w:ascii="Calibri" w:hAnsi="Calibri" w:eastAsia="Calibri" w:cs="Calibri"/>
          <w:b/>
          <w:bCs/>
          <w:sz w:val="22"/>
          <w:szCs w:val="22"/>
        </w:rPr>
        <w:t xml:space="preserve">Pregunta de investigación: </w:t>
      </w:r>
      <w:r>
        <w:rPr>
          <w:rFonts w:ascii="Calibri" w:hAnsi="Calibri" w:eastAsia="Calibri" w:cs="Calibri"/>
          <w:sz w:val="22"/>
          <w:szCs w:val="22"/>
        </w:rPr>
        <w:t>¿Existe relación entre la distribución geográfica de las cafeterías de especialidad y el valor del suelo en los barrios de Bogotá, y hasta qué medida su concentración puede asociarse con procesos de valorización?</w:t>
      </w:r>
    </w:p>
    <w:p w14:paraId="71130897">
      <w:pPr>
        <w:pStyle w:val="2"/>
        <w:spacing w:before="300" w:after="120"/>
      </w:pPr>
      <w:r>
        <w:rPr>
          <w:rFonts w:ascii="Calibri" w:hAnsi="Calibri" w:eastAsia="Calibri" w:cs="Calibri"/>
          <w:b/>
          <w:bCs/>
          <w:color w:val="7A4A1E"/>
          <w:sz w:val="28"/>
          <w:szCs w:val="28"/>
        </w:rPr>
        <w:t>1. Papel de la encuesta dentro del estudio</w:t>
      </w:r>
    </w:p>
    <w:p w14:paraId="658F165F">
      <w:pPr>
        <w:spacing w:after="120" w:line="276" w:lineRule="auto"/>
      </w:pPr>
      <w:r>
        <w:rPr>
          <w:rFonts w:ascii="Calibri" w:hAnsi="Calibri" w:eastAsia="Calibri" w:cs="Calibri"/>
          <w:sz w:val="22"/>
          <w:szCs w:val="22"/>
        </w:rPr>
        <w:t>La pregunta se responde con dos fuentes que se complementan, siguiendo el modelo lógico del proyecto (insumos, actividades, productos y resultados):</w:t>
      </w:r>
    </w:p>
    <w:p w14:paraId="550C890B">
      <w:pPr>
        <w:pStyle w:val="16"/>
        <w:numPr>
          <w:ilvl w:val="0"/>
          <w:numId w:val="1"/>
        </w:numPr>
        <w:spacing w:after="70" w:line="270" w:lineRule="auto"/>
      </w:pPr>
      <w:r>
        <w:rPr>
          <w:rFonts w:hint="default" w:ascii="Calibri" w:hAnsi="Calibri" w:eastAsia="Calibri" w:cs="Calibri"/>
          <w:b/>
          <w:bCs/>
          <w:sz w:val="22"/>
          <w:szCs w:val="22"/>
        </w:rPr>
        <w:t xml:space="preserve">Información secundaria (Insumo principal): </w:t>
      </w:r>
      <w:r>
        <w:rPr>
          <w:rFonts w:hint="default" w:ascii="Calibri" w:hAnsi="Calibri" w:eastAsia="Calibri" w:cs="Calibri"/>
          <w:b w:val="0"/>
          <w:bCs w:val="0"/>
          <w:sz w:val="22"/>
          <w:szCs w:val="22"/>
        </w:rPr>
        <w:t xml:space="preserve">Corresponde al inventario georreferenciado de cafeterías y a los datos de valor del suelo por manzana (agregados a nivel de barrio). Estos datos permiten medir cuantitativamente la distribución espacial y responder de forma directa si existe una relación estadística entre la ubicación de los establecimientos y el valor del suelo.  </w:t>
      </w:r>
    </w:p>
    <w:p w14:paraId="109FB323">
      <w:pPr>
        <w:pStyle w:val="16"/>
        <w:numPr>
          <w:ilvl w:val="0"/>
          <w:numId w:val="1"/>
        </w:numPr>
        <w:spacing w:after="70" w:line="270" w:lineRule="auto"/>
        <w:rPr>
          <w:b w:val="0"/>
          <w:bCs w:val="0"/>
        </w:rPr>
      </w:pPr>
      <w:r>
        <w:rPr>
          <w:rFonts w:hint="default" w:ascii="Calibri" w:hAnsi="Calibri" w:eastAsia="Calibri" w:cs="Calibri"/>
          <w:b/>
          <w:bCs/>
          <w:sz w:val="22"/>
          <w:szCs w:val="22"/>
        </w:rPr>
        <w:t>Encuesta de campo (Insumo complementario):</w:t>
      </w:r>
      <w:r>
        <w:rPr>
          <w:rFonts w:hint="default" w:ascii="Calibri" w:hAnsi="Calibri" w:eastAsia="Calibri" w:cs="Calibri"/>
          <w:b w:val="0"/>
          <w:bCs w:val="0"/>
          <w:sz w:val="22"/>
          <w:szCs w:val="22"/>
        </w:rPr>
        <w:t xml:space="preserve"> Recoge las percepciones que las fuentes oficiales no alcanzan a captar, tales como el reemplazo comercial, el incremento percibido en precios y arriendos, el desplazamiento de habitantes y las tensiones entre los negocios tradicionales y los nuevos formatos.   </w:t>
      </w:r>
      <w:r>
        <w:rPr>
          <w:rFonts w:hint="default" w:ascii="Calibri" w:hAnsi="Calibri" w:eastAsia="Calibri" w:cs="Calibri"/>
          <w:b w:val="0"/>
          <w:bCs w:val="0"/>
          <w:sz w:val="22"/>
          <w:szCs w:val="22"/>
        </w:rPr>
        <w:tab/>
      </w:r>
    </w:p>
    <w:p w14:paraId="556817A1">
      <w:pPr>
        <w:pStyle w:val="16"/>
        <w:numPr>
          <w:ilvl w:val="0"/>
          <w:numId w:val="1"/>
        </w:numPr>
        <w:spacing w:after="70" w:line="270" w:lineRule="auto"/>
        <w:rPr>
          <w:b w:val="0"/>
          <w:bCs w:val="0"/>
        </w:rPr>
      </w:pPr>
      <w:r>
        <w:rPr>
          <w:rFonts w:hint="default" w:ascii="Calibri" w:hAnsi="Calibri" w:eastAsia="Calibri" w:cs="Calibri"/>
          <w:b/>
          <w:bCs/>
          <w:sz w:val="22"/>
          <w:szCs w:val="22"/>
        </w:rPr>
        <w:t xml:space="preserve">Nota de alcance metodológico: </w:t>
      </w:r>
      <w:r>
        <w:rPr>
          <w:rFonts w:hint="default" w:ascii="Calibri" w:hAnsi="Calibri" w:eastAsia="Calibri" w:cs="Calibri"/>
          <w:b w:val="0"/>
          <w:bCs w:val="0"/>
          <w:sz w:val="22"/>
          <w:szCs w:val="22"/>
        </w:rPr>
        <w:t>La encuesta de campo no tiene como objetivo medir el valor monetario del suelo ni establecer una relación de causalidad directa (es decir, no busca demostrar que las cafeterías provocan el encarecimiento). Su propósito es aportar evidencia cualitativa y complementaria para interpretar con mayor profundidad los posibles procesos de gentrificación comercial en el territorio.</w:t>
      </w:r>
    </w:p>
    <w:p w14:paraId="70776D80">
      <w:pPr>
        <w:pStyle w:val="16"/>
        <w:numPr>
          <w:ilvl w:val="0"/>
          <w:numId w:val="1"/>
        </w:numPr>
        <w:spacing w:after="70" w:line="270" w:lineRule="auto"/>
      </w:pPr>
      <w:r>
        <w:rPr>
          <w:rFonts w:ascii="Calibri" w:hAnsi="Calibri" w:eastAsia="Calibri" w:cs="Calibri"/>
          <w:b/>
          <w:bCs/>
          <w:sz w:val="22"/>
          <w:szCs w:val="22"/>
        </w:rPr>
        <w:t xml:space="preserve">Cómo se unen: </w:t>
      </w:r>
      <w:r>
        <w:rPr>
          <w:rFonts w:ascii="Calibri" w:hAnsi="Calibri" w:eastAsia="Calibri" w:cs="Calibri"/>
          <w:sz w:val="22"/>
          <w:szCs w:val="22"/>
        </w:rPr>
        <w:t>cada encuesta queda etiquetada con el identificador único de la cafetería y del barrio donde se aplicó (el mismo del shapefile de la Entrega 3a). Así, las percepciones se pueden contrastar con el número de cafeterías, el valor del suelo y su variación en ese barrio.</w:t>
      </w:r>
    </w:p>
    <w:p w14:paraId="071F6638">
      <w:pPr>
        <w:pStyle w:val="16"/>
        <w:numPr>
          <w:ilvl w:val="0"/>
          <w:numId w:val="1"/>
        </w:numPr>
        <w:spacing w:after="70" w:line="270" w:lineRule="auto"/>
      </w:pPr>
      <w:r>
        <w:rPr>
          <w:rFonts w:ascii="Calibri" w:hAnsi="Calibri" w:eastAsia="Calibri" w:cs="Calibri"/>
          <w:b/>
          <w:bCs/>
          <w:sz w:val="22"/>
          <w:szCs w:val="22"/>
        </w:rPr>
        <w:t xml:space="preserve">Alcance: </w:t>
      </w:r>
      <w:r>
        <w:rPr>
          <w:rFonts w:ascii="Calibri" w:hAnsi="Calibri" w:eastAsia="Calibri" w:cs="Calibri"/>
          <w:sz w:val="22"/>
          <w:szCs w:val="22"/>
        </w:rPr>
        <w:t>la encuesta no mide el valor del suelo ni prueba causalidad. Aporta evidencia complementaria sobre posibles procesos de gentrificación comercial, que se usa para interpretar los resultados espaciales (resultado “Alcance de la evidencia”).</w:t>
      </w:r>
    </w:p>
    <w:p w14:paraId="42AC7A07">
      <w:pPr>
        <w:pStyle w:val="2"/>
        <w:spacing w:before="300" w:after="120"/>
      </w:pPr>
      <w:r>
        <w:rPr>
          <w:rFonts w:ascii="Calibri" w:hAnsi="Calibri" w:eastAsia="Calibri" w:cs="Calibri"/>
          <w:b/>
          <w:bCs/>
          <w:color w:val="7A4A1E"/>
          <w:sz w:val="28"/>
          <w:szCs w:val="28"/>
        </w:rPr>
        <w:t>2. ¿Cuántas encuestas/observaciones se van a realizar?</w:t>
      </w:r>
    </w:p>
    <w:p w14:paraId="3D325A32">
      <w:pPr>
        <w:pStyle w:val="16"/>
        <w:numPr>
          <w:ilvl w:val="0"/>
          <w:numId w:val="1"/>
        </w:numPr>
        <w:spacing w:after="70" w:line="270" w:lineRule="auto"/>
      </w:pPr>
      <w:r>
        <w:rPr>
          <w:rFonts w:ascii="Calibri" w:hAnsi="Calibri" w:eastAsia="Calibri" w:cs="Calibri"/>
          <w:sz w:val="22"/>
          <w:szCs w:val="22"/>
        </w:rPr>
        <w:t>Se estima que se realizarán aproximadamente 60 encuestas, incluyendo respuestas de trabajadores y personas del común que estén en las cafeterías expuestas en el punto siguiente.</w:t>
      </w:r>
    </w:p>
    <w:p w14:paraId="10F0284B">
      <w:pPr>
        <w:pStyle w:val="16"/>
        <w:numPr>
          <w:ilvl w:val="0"/>
          <w:numId w:val="1"/>
        </w:numPr>
        <w:spacing w:after="70" w:line="270" w:lineRule="auto"/>
      </w:pPr>
      <w:r>
        <w:rPr>
          <w:rFonts w:ascii="Calibri" w:hAnsi="Calibri" w:eastAsia="Calibri" w:cs="Calibri"/>
          <w:sz w:val="22"/>
          <w:szCs w:val="22"/>
        </w:rPr>
        <w:t>Equivale a 4 o 5 encuestas por cafetería (14 cafeterías). Se busca un mínimo de 3 por local, para que cada sector tenga al menos algunas respuestas.</w:t>
      </w:r>
    </w:p>
    <w:p w14:paraId="57399395">
      <w:pPr>
        <w:pStyle w:val="16"/>
        <w:numPr>
          <w:ilvl w:val="0"/>
          <w:numId w:val="1"/>
        </w:numPr>
        <w:spacing w:after="70" w:line="270" w:lineRule="auto"/>
      </w:pPr>
      <w:r>
        <w:rPr>
          <w:rFonts w:ascii="Calibri" w:hAnsi="Calibri" w:eastAsia="Calibri" w:cs="Calibri"/>
          <w:sz w:val="22"/>
          <w:szCs w:val="22"/>
        </w:rPr>
        <w:t>Se procurará una mezcla de perf</w:t>
      </w:r>
      <w:bookmarkStart w:id="0" w:name="_GoBack"/>
      <w:bookmarkEnd w:id="0"/>
      <w:r>
        <w:rPr>
          <w:rFonts w:ascii="Calibri" w:hAnsi="Calibri" w:eastAsia="Calibri" w:cs="Calibri"/>
          <w:sz w:val="22"/>
          <w:szCs w:val="22"/>
        </w:rPr>
        <w:t>iles según la pregunta 1 (residentes, trabajadores/estudiantes y visitantes), sin cuotas estrictas.</w:t>
      </w:r>
    </w:p>
    <w:p w14:paraId="23CC1A9F">
      <w:pPr>
        <w:pStyle w:val="16"/>
        <w:numPr>
          <w:ilvl w:val="0"/>
          <w:numId w:val="1"/>
        </w:numPr>
        <w:spacing w:after="70" w:line="270" w:lineRule="auto"/>
      </w:pPr>
      <w:r>
        <w:rPr>
          <w:rFonts w:ascii="Calibri" w:hAnsi="Calibri" w:eastAsia="Calibri" w:cs="Calibri"/>
          <w:sz w:val="22"/>
          <w:szCs w:val="22"/>
        </w:rPr>
        <w:t>Además de las 60 encuestas, cada cafetería visitada genera un registro propio en la base (barrio, sector, pertenencia a Coffee Master 2026), que se cruza con los datos de valor del suelo.</w:t>
      </w:r>
    </w:p>
    <w:p w14:paraId="0420FFBF">
      <w:pPr>
        <w:pStyle w:val="2"/>
        <w:spacing w:before="300" w:after="120"/>
      </w:pPr>
      <w:r>
        <w:rPr>
          <w:rFonts w:ascii="Calibri" w:hAnsi="Calibri" w:eastAsia="Calibri" w:cs="Calibri"/>
          <w:b/>
          <w:bCs/>
          <w:color w:val="7A4A1E"/>
          <w:sz w:val="28"/>
          <w:szCs w:val="28"/>
        </w:rPr>
        <w:t>3. Lugares, horarios, reparto y abordaje</w:t>
      </w:r>
    </w:p>
    <w:p w14:paraId="0DF805A5">
      <w:pPr>
        <w:pStyle w:val="3"/>
        <w:spacing w:before="200" w:after="100"/>
      </w:pPr>
      <w:r>
        <w:rPr>
          <w:rFonts w:ascii="Calibri" w:hAnsi="Calibri" w:eastAsia="Calibri" w:cs="Calibri"/>
          <w:b/>
          <w:bCs/>
          <w:color w:val="3B3B3B"/>
          <w:sz w:val="24"/>
          <w:szCs w:val="24"/>
        </w:rPr>
        <w:t>Lugares a visitar</w:t>
      </w:r>
    </w:p>
    <w:tbl>
      <w:tblPr>
        <w:tblStyle w:val="9"/>
        <w:tblW w:w="850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0"/>
        <w:gridCol w:w="3900"/>
        <w:gridCol w:w="3304"/>
        <w:gridCol w:w="800"/>
      </w:tblGrid>
      <w:tr w14:paraId="7FC4A6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500" w:type="dxa"/>
            <w:tcBorders>
              <w:top w:val="single" w:color="BFBFBF" w:sz="4" w:space="0"/>
              <w:left w:val="single" w:color="BFBFBF" w:sz="4" w:space="0"/>
              <w:bottom w:val="single" w:color="BFBFBF" w:sz="4" w:space="0"/>
              <w:right w:val="single" w:color="BFBFBF" w:sz="4" w:space="0"/>
            </w:tcBorders>
            <w:shd w:val="clear" w:color="auto" w:fill="EADBC8"/>
            <w:tcMar>
              <w:top w:w="60" w:type="dxa"/>
              <w:left w:w="90" w:type="dxa"/>
              <w:bottom w:w="60" w:type="dxa"/>
              <w:right w:w="90" w:type="dxa"/>
            </w:tcMar>
          </w:tcPr>
          <w:p w14:paraId="7D76FF6E">
            <w:pPr>
              <w:spacing w:after="30" w:line="250" w:lineRule="auto"/>
            </w:pPr>
            <w:r>
              <w:rPr>
                <w:rFonts w:ascii="Calibri" w:hAnsi="Calibri" w:eastAsia="Calibri" w:cs="Calibri"/>
                <w:b/>
                <w:bCs/>
                <w:sz w:val="19"/>
                <w:szCs w:val="19"/>
              </w:rPr>
              <w:t>N.º</w:t>
            </w:r>
          </w:p>
        </w:tc>
        <w:tc>
          <w:tcPr>
            <w:tcW w:w="3900" w:type="dxa"/>
            <w:tcBorders>
              <w:top w:val="single" w:color="BFBFBF" w:sz="4" w:space="0"/>
              <w:left w:val="single" w:color="BFBFBF" w:sz="4" w:space="0"/>
              <w:bottom w:val="single" w:color="BFBFBF" w:sz="4" w:space="0"/>
              <w:right w:val="single" w:color="BFBFBF" w:sz="4" w:space="0"/>
            </w:tcBorders>
            <w:shd w:val="clear" w:color="auto" w:fill="EADBC8"/>
            <w:tcMar>
              <w:top w:w="60" w:type="dxa"/>
              <w:left w:w="90" w:type="dxa"/>
              <w:bottom w:w="60" w:type="dxa"/>
              <w:right w:w="90" w:type="dxa"/>
            </w:tcMar>
          </w:tcPr>
          <w:p w14:paraId="38B9DD8C">
            <w:pPr>
              <w:spacing w:after="30" w:line="250" w:lineRule="auto"/>
            </w:pPr>
            <w:r>
              <w:rPr>
                <w:rFonts w:ascii="Calibri" w:hAnsi="Calibri" w:eastAsia="Calibri" w:cs="Calibri"/>
                <w:b/>
                <w:bCs/>
                <w:sz w:val="19"/>
                <w:szCs w:val="19"/>
              </w:rPr>
              <w:t>Cafetería</w:t>
            </w:r>
          </w:p>
        </w:tc>
        <w:tc>
          <w:tcPr>
            <w:tcW w:w="3304" w:type="dxa"/>
            <w:tcBorders>
              <w:top w:val="single" w:color="BFBFBF" w:sz="4" w:space="0"/>
              <w:left w:val="single" w:color="BFBFBF" w:sz="4" w:space="0"/>
              <w:bottom w:val="single" w:color="BFBFBF" w:sz="4" w:space="0"/>
              <w:right w:val="single" w:color="BFBFBF" w:sz="4" w:space="0"/>
            </w:tcBorders>
            <w:shd w:val="clear" w:color="auto" w:fill="EADBC8"/>
            <w:tcMar>
              <w:top w:w="60" w:type="dxa"/>
              <w:left w:w="90" w:type="dxa"/>
              <w:bottom w:w="60" w:type="dxa"/>
              <w:right w:w="90" w:type="dxa"/>
            </w:tcMar>
          </w:tcPr>
          <w:p w14:paraId="3CE4E07D">
            <w:pPr>
              <w:spacing w:after="30" w:line="250" w:lineRule="auto"/>
            </w:pPr>
            <w:r>
              <w:rPr>
                <w:rFonts w:ascii="Calibri" w:hAnsi="Calibri" w:eastAsia="Calibri" w:cs="Calibri"/>
                <w:b/>
                <w:bCs/>
                <w:sz w:val="19"/>
                <w:szCs w:val="19"/>
              </w:rPr>
              <w:t>Sector</w:t>
            </w:r>
          </w:p>
        </w:tc>
        <w:tc>
          <w:tcPr>
            <w:tcW w:w="800" w:type="dxa"/>
            <w:tcBorders>
              <w:top w:val="single" w:color="BFBFBF" w:sz="4" w:space="0"/>
              <w:left w:val="single" w:color="BFBFBF" w:sz="4" w:space="0"/>
              <w:bottom w:val="single" w:color="BFBFBF" w:sz="4" w:space="0"/>
              <w:right w:val="single" w:color="BFBFBF" w:sz="4" w:space="0"/>
            </w:tcBorders>
            <w:shd w:val="clear" w:color="auto" w:fill="EADBC8"/>
            <w:tcMar>
              <w:top w:w="60" w:type="dxa"/>
              <w:left w:w="90" w:type="dxa"/>
              <w:bottom w:w="60" w:type="dxa"/>
              <w:right w:w="90" w:type="dxa"/>
            </w:tcMar>
          </w:tcPr>
          <w:p w14:paraId="26B2C54D">
            <w:pPr>
              <w:spacing w:after="30" w:line="250" w:lineRule="auto"/>
            </w:pPr>
            <w:r>
              <w:rPr>
                <w:rFonts w:ascii="Calibri" w:hAnsi="Calibri" w:eastAsia="Calibri" w:cs="Calibri"/>
                <w:b/>
                <w:bCs/>
                <w:sz w:val="19"/>
                <w:szCs w:val="19"/>
              </w:rPr>
              <w:t>Grupo</w:t>
            </w:r>
          </w:p>
        </w:tc>
      </w:tr>
      <w:tr w14:paraId="4D2E77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00EE12F3">
            <w:pPr>
              <w:spacing w:after="30" w:line="250" w:lineRule="auto"/>
            </w:pPr>
            <w:r>
              <w:rPr>
                <w:rFonts w:ascii="Calibri" w:hAnsi="Calibri" w:eastAsia="Calibri" w:cs="Calibri"/>
                <w:b w:val="0"/>
                <w:bCs w:val="0"/>
                <w:sz w:val="19"/>
                <w:szCs w:val="19"/>
              </w:rPr>
              <w:t>1</w:t>
            </w:r>
          </w:p>
        </w:tc>
        <w:tc>
          <w:tcPr>
            <w:tcW w:w="39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5EB83787">
            <w:pPr>
              <w:spacing w:after="30" w:line="250" w:lineRule="auto"/>
            </w:pPr>
            <w:r>
              <w:rPr>
                <w:rFonts w:ascii="Calibri" w:hAnsi="Calibri" w:eastAsia="Calibri" w:cs="Calibri"/>
                <w:b w:val="0"/>
                <w:bCs w:val="0"/>
                <w:sz w:val="19"/>
                <w:szCs w:val="19"/>
              </w:rPr>
              <w:t>Brio Art Café (Coffee Master 2026)</w:t>
            </w:r>
          </w:p>
        </w:tc>
        <w:tc>
          <w:tcPr>
            <w:tcW w:w="3304"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28D98967">
            <w:pPr>
              <w:spacing w:after="30" w:line="250" w:lineRule="auto"/>
            </w:pPr>
            <w:r>
              <w:rPr>
                <w:rFonts w:ascii="Calibri" w:hAnsi="Calibri" w:eastAsia="Calibri" w:cs="Calibri"/>
                <w:b w:val="0"/>
                <w:bCs w:val="0"/>
                <w:sz w:val="19"/>
                <w:szCs w:val="19"/>
              </w:rPr>
              <w:t>La Macarena</w:t>
            </w:r>
          </w:p>
        </w:tc>
        <w:tc>
          <w:tcPr>
            <w:tcW w:w="8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0CEDF631">
            <w:pPr>
              <w:spacing w:after="30" w:line="250" w:lineRule="auto"/>
            </w:pPr>
            <w:r>
              <w:rPr>
                <w:rFonts w:ascii="Calibri" w:hAnsi="Calibri" w:eastAsia="Calibri" w:cs="Calibri"/>
                <w:b w:val="0"/>
                <w:bCs w:val="0"/>
                <w:sz w:val="19"/>
                <w:szCs w:val="19"/>
              </w:rPr>
              <w:t>A</w:t>
            </w:r>
          </w:p>
        </w:tc>
      </w:tr>
      <w:tr w14:paraId="3176D4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72DAC033">
            <w:pPr>
              <w:spacing w:after="30" w:line="250" w:lineRule="auto"/>
            </w:pPr>
            <w:r>
              <w:rPr>
                <w:rFonts w:ascii="Calibri" w:hAnsi="Calibri" w:eastAsia="Calibri" w:cs="Calibri"/>
                <w:b w:val="0"/>
                <w:bCs w:val="0"/>
                <w:sz w:val="19"/>
                <w:szCs w:val="19"/>
              </w:rPr>
              <w:t>2</w:t>
            </w:r>
          </w:p>
        </w:tc>
        <w:tc>
          <w:tcPr>
            <w:tcW w:w="39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098B43D1">
            <w:pPr>
              <w:spacing w:after="30" w:line="250" w:lineRule="auto"/>
            </w:pPr>
            <w:r>
              <w:rPr>
                <w:rFonts w:ascii="Calibri" w:hAnsi="Calibri" w:eastAsia="Calibri" w:cs="Calibri"/>
                <w:b w:val="0"/>
                <w:bCs w:val="0"/>
                <w:sz w:val="19"/>
                <w:szCs w:val="19"/>
              </w:rPr>
              <w:t>Luvina Librería Café</w:t>
            </w:r>
          </w:p>
        </w:tc>
        <w:tc>
          <w:tcPr>
            <w:tcW w:w="3304"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34F14CF1">
            <w:pPr>
              <w:spacing w:after="30" w:line="250" w:lineRule="auto"/>
            </w:pPr>
            <w:r>
              <w:rPr>
                <w:rFonts w:ascii="Calibri" w:hAnsi="Calibri" w:eastAsia="Calibri" w:cs="Calibri"/>
                <w:b w:val="0"/>
                <w:bCs w:val="0"/>
                <w:sz w:val="19"/>
                <w:szCs w:val="19"/>
              </w:rPr>
              <w:t>La Macarena</w:t>
            </w:r>
          </w:p>
        </w:tc>
        <w:tc>
          <w:tcPr>
            <w:tcW w:w="8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5C7F5FC7">
            <w:pPr>
              <w:spacing w:after="30" w:line="250" w:lineRule="auto"/>
            </w:pPr>
            <w:r>
              <w:rPr>
                <w:rFonts w:ascii="Calibri" w:hAnsi="Calibri" w:eastAsia="Calibri" w:cs="Calibri"/>
                <w:b w:val="0"/>
                <w:bCs w:val="0"/>
                <w:sz w:val="19"/>
                <w:szCs w:val="19"/>
              </w:rPr>
              <w:t>A</w:t>
            </w:r>
          </w:p>
        </w:tc>
      </w:tr>
      <w:tr w14:paraId="6FB021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7735FC2E">
            <w:pPr>
              <w:spacing w:after="30" w:line="250" w:lineRule="auto"/>
            </w:pPr>
            <w:r>
              <w:rPr>
                <w:rFonts w:ascii="Calibri" w:hAnsi="Calibri" w:eastAsia="Calibri" w:cs="Calibri"/>
                <w:b w:val="0"/>
                <w:bCs w:val="0"/>
                <w:sz w:val="19"/>
                <w:szCs w:val="19"/>
              </w:rPr>
              <w:t>3</w:t>
            </w:r>
          </w:p>
        </w:tc>
        <w:tc>
          <w:tcPr>
            <w:tcW w:w="39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00D92BDE">
            <w:pPr>
              <w:spacing w:after="30" w:line="250" w:lineRule="auto"/>
            </w:pPr>
            <w:r>
              <w:rPr>
                <w:rFonts w:ascii="Calibri" w:hAnsi="Calibri" w:eastAsia="Calibri" w:cs="Calibri"/>
                <w:b w:val="0"/>
                <w:bCs w:val="0"/>
                <w:sz w:val="19"/>
                <w:szCs w:val="19"/>
              </w:rPr>
              <w:t>Varietale Café – Federmán</w:t>
            </w:r>
          </w:p>
        </w:tc>
        <w:tc>
          <w:tcPr>
            <w:tcW w:w="3304"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79A6BCDA">
            <w:pPr>
              <w:spacing w:after="30" w:line="250" w:lineRule="auto"/>
            </w:pPr>
            <w:r>
              <w:rPr>
                <w:rFonts w:ascii="Calibri" w:hAnsi="Calibri" w:eastAsia="Calibri" w:cs="Calibri"/>
                <w:b w:val="0"/>
                <w:bCs w:val="0"/>
                <w:sz w:val="19"/>
                <w:szCs w:val="19"/>
              </w:rPr>
              <w:t>Salitre – Nicolás de Federmán</w:t>
            </w:r>
          </w:p>
        </w:tc>
        <w:tc>
          <w:tcPr>
            <w:tcW w:w="8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13349622">
            <w:pPr>
              <w:spacing w:after="30" w:line="250" w:lineRule="auto"/>
            </w:pPr>
            <w:r>
              <w:rPr>
                <w:rFonts w:ascii="Calibri" w:hAnsi="Calibri" w:eastAsia="Calibri" w:cs="Calibri"/>
                <w:b w:val="0"/>
                <w:bCs w:val="0"/>
                <w:sz w:val="19"/>
                <w:szCs w:val="19"/>
              </w:rPr>
              <w:t>A</w:t>
            </w:r>
          </w:p>
        </w:tc>
      </w:tr>
      <w:tr w14:paraId="0AB170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542BDDDD">
            <w:pPr>
              <w:spacing w:after="30" w:line="250" w:lineRule="auto"/>
            </w:pPr>
            <w:r>
              <w:rPr>
                <w:rFonts w:ascii="Calibri" w:hAnsi="Calibri" w:eastAsia="Calibri" w:cs="Calibri"/>
                <w:b w:val="0"/>
                <w:bCs w:val="0"/>
                <w:sz w:val="19"/>
                <w:szCs w:val="19"/>
              </w:rPr>
              <w:t>4</w:t>
            </w:r>
          </w:p>
        </w:tc>
        <w:tc>
          <w:tcPr>
            <w:tcW w:w="39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34790925">
            <w:pPr>
              <w:spacing w:after="30" w:line="250" w:lineRule="auto"/>
            </w:pPr>
            <w:r>
              <w:rPr>
                <w:rFonts w:ascii="Calibri" w:hAnsi="Calibri" w:eastAsia="Calibri" w:cs="Calibri"/>
                <w:b w:val="0"/>
                <w:bCs w:val="0"/>
                <w:sz w:val="19"/>
                <w:szCs w:val="19"/>
              </w:rPr>
              <w:t>Nativa Café – Nicolás de Federmán</w:t>
            </w:r>
          </w:p>
        </w:tc>
        <w:tc>
          <w:tcPr>
            <w:tcW w:w="3304"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615E53DB">
            <w:pPr>
              <w:spacing w:after="30" w:line="250" w:lineRule="auto"/>
            </w:pPr>
            <w:r>
              <w:rPr>
                <w:rFonts w:ascii="Calibri" w:hAnsi="Calibri" w:eastAsia="Calibri" w:cs="Calibri"/>
                <w:b w:val="0"/>
                <w:bCs w:val="0"/>
                <w:sz w:val="19"/>
                <w:szCs w:val="19"/>
              </w:rPr>
              <w:t>Salitre – Nicolás de Federmán</w:t>
            </w:r>
          </w:p>
        </w:tc>
        <w:tc>
          <w:tcPr>
            <w:tcW w:w="8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59E971CD">
            <w:pPr>
              <w:spacing w:after="30" w:line="250" w:lineRule="auto"/>
            </w:pPr>
            <w:r>
              <w:rPr>
                <w:rFonts w:ascii="Calibri" w:hAnsi="Calibri" w:eastAsia="Calibri" w:cs="Calibri"/>
                <w:b w:val="0"/>
                <w:bCs w:val="0"/>
                <w:sz w:val="19"/>
                <w:szCs w:val="19"/>
              </w:rPr>
              <w:t>A</w:t>
            </w:r>
          </w:p>
        </w:tc>
      </w:tr>
      <w:tr w14:paraId="0E0FA7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0782FC35">
            <w:pPr>
              <w:spacing w:after="30" w:line="250" w:lineRule="auto"/>
            </w:pPr>
            <w:r>
              <w:rPr>
                <w:rFonts w:ascii="Calibri" w:hAnsi="Calibri" w:eastAsia="Calibri" w:cs="Calibri"/>
                <w:b w:val="0"/>
                <w:bCs w:val="0"/>
                <w:sz w:val="19"/>
                <w:szCs w:val="19"/>
              </w:rPr>
              <w:t>5</w:t>
            </w:r>
          </w:p>
        </w:tc>
        <w:tc>
          <w:tcPr>
            <w:tcW w:w="39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00EBCB53">
            <w:pPr>
              <w:spacing w:after="30" w:line="250" w:lineRule="auto"/>
            </w:pPr>
            <w:r>
              <w:rPr>
                <w:rFonts w:ascii="Calibri" w:hAnsi="Calibri" w:eastAsia="Calibri" w:cs="Calibri"/>
                <w:b w:val="0"/>
                <w:bCs w:val="0"/>
                <w:sz w:val="19"/>
                <w:szCs w:val="19"/>
              </w:rPr>
              <w:t>Varietale Café – Javeriana (Coffee Master 2026)</w:t>
            </w:r>
          </w:p>
        </w:tc>
        <w:tc>
          <w:tcPr>
            <w:tcW w:w="3304"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2C9F2290">
            <w:pPr>
              <w:spacing w:after="30" w:line="250" w:lineRule="auto"/>
            </w:pPr>
            <w:r>
              <w:rPr>
                <w:rFonts w:ascii="Calibri" w:hAnsi="Calibri" w:eastAsia="Calibri" w:cs="Calibri"/>
                <w:b w:val="0"/>
                <w:bCs w:val="0"/>
                <w:sz w:val="19"/>
                <w:szCs w:val="19"/>
              </w:rPr>
              <w:t>Chapinero Alto y Pardo Rubio</w:t>
            </w:r>
          </w:p>
        </w:tc>
        <w:tc>
          <w:tcPr>
            <w:tcW w:w="8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3A2678AA">
            <w:pPr>
              <w:spacing w:after="30" w:line="250" w:lineRule="auto"/>
            </w:pPr>
            <w:r>
              <w:rPr>
                <w:rFonts w:ascii="Calibri" w:hAnsi="Calibri" w:eastAsia="Calibri" w:cs="Calibri"/>
                <w:b w:val="0"/>
                <w:bCs w:val="0"/>
                <w:sz w:val="19"/>
                <w:szCs w:val="19"/>
              </w:rPr>
              <w:t>A</w:t>
            </w:r>
          </w:p>
        </w:tc>
      </w:tr>
      <w:tr w14:paraId="5D260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1B60F382">
            <w:pPr>
              <w:spacing w:after="30" w:line="250" w:lineRule="auto"/>
            </w:pPr>
            <w:r>
              <w:rPr>
                <w:rFonts w:ascii="Calibri" w:hAnsi="Calibri" w:eastAsia="Calibri" w:cs="Calibri"/>
                <w:b w:val="0"/>
                <w:bCs w:val="0"/>
                <w:sz w:val="19"/>
                <w:szCs w:val="19"/>
              </w:rPr>
              <w:t>6</w:t>
            </w:r>
          </w:p>
        </w:tc>
        <w:tc>
          <w:tcPr>
            <w:tcW w:w="39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53F27512">
            <w:pPr>
              <w:spacing w:after="30" w:line="250" w:lineRule="auto"/>
            </w:pPr>
            <w:r>
              <w:rPr>
                <w:rFonts w:ascii="Calibri" w:hAnsi="Calibri" w:eastAsia="Calibri" w:cs="Calibri"/>
                <w:b w:val="0"/>
                <w:bCs w:val="0"/>
                <w:sz w:val="19"/>
                <w:szCs w:val="19"/>
              </w:rPr>
              <w:t>Café Amor Perfecto – Chapinero Alto</w:t>
            </w:r>
          </w:p>
        </w:tc>
        <w:tc>
          <w:tcPr>
            <w:tcW w:w="3304"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6C76D55E">
            <w:pPr>
              <w:spacing w:after="30" w:line="250" w:lineRule="auto"/>
            </w:pPr>
            <w:r>
              <w:rPr>
                <w:rFonts w:ascii="Calibri" w:hAnsi="Calibri" w:eastAsia="Calibri" w:cs="Calibri"/>
                <w:b w:val="0"/>
                <w:bCs w:val="0"/>
                <w:sz w:val="19"/>
                <w:szCs w:val="19"/>
              </w:rPr>
              <w:t>Chapinero Alto y Pardo Rubio</w:t>
            </w:r>
          </w:p>
        </w:tc>
        <w:tc>
          <w:tcPr>
            <w:tcW w:w="8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6CB2019B">
            <w:pPr>
              <w:spacing w:after="30" w:line="250" w:lineRule="auto"/>
            </w:pPr>
            <w:r>
              <w:rPr>
                <w:rFonts w:ascii="Calibri" w:hAnsi="Calibri" w:eastAsia="Calibri" w:cs="Calibri"/>
                <w:b w:val="0"/>
                <w:bCs w:val="0"/>
                <w:sz w:val="19"/>
                <w:szCs w:val="19"/>
              </w:rPr>
              <w:t>A</w:t>
            </w:r>
          </w:p>
        </w:tc>
      </w:tr>
      <w:tr w14:paraId="17998C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45CE253A">
            <w:pPr>
              <w:spacing w:after="30" w:line="250" w:lineRule="auto"/>
            </w:pPr>
            <w:r>
              <w:rPr>
                <w:rFonts w:ascii="Calibri" w:hAnsi="Calibri" w:eastAsia="Calibri" w:cs="Calibri"/>
                <w:b w:val="0"/>
                <w:bCs w:val="0"/>
                <w:sz w:val="19"/>
                <w:szCs w:val="19"/>
              </w:rPr>
              <w:t>7</w:t>
            </w:r>
          </w:p>
        </w:tc>
        <w:tc>
          <w:tcPr>
            <w:tcW w:w="39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07BD737C">
            <w:pPr>
              <w:spacing w:after="30" w:line="250" w:lineRule="auto"/>
            </w:pPr>
            <w:r>
              <w:rPr>
                <w:rFonts w:ascii="Calibri" w:hAnsi="Calibri" w:eastAsia="Calibri" w:cs="Calibri"/>
                <w:b w:val="0"/>
                <w:bCs w:val="0"/>
                <w:sz w:val="19"/>
                <w:szCs w:val="19"/>
              </w:rPr>
              <w:t>Café 18 – Sede Rosales (Coffee Master 2026)</w:t>
            </w:r>
          </w:p>
        </w:tc>
        <w:tc>
          <w:tcPr>
            <w:tcW w:w="3304"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0BD32260">
            <w:pPr>
              <w:spacing w:after="30" w:line="250" w:lineRule="auto"/>
            </w:pPr>
            <w:r>
              <w:rPr>
                <w:rFonts w:ascii="Calibri" w:hAnsi="Calibri" w:eastAsia="Calibri" w:cs="Calibri"/>
                <w:b w:val="0"/>
                <w:bCs w:val="0"/>
                <w:sz w:val="19"/>
                <w:szCs w:val="19"/>
              </w:rPr>
              <w:t>El Refugio y borde oriental</w:t>
            </w:r>
          </w:p>
        </w:tc>
        <w:tc>
          <w:tcPr>
            <w:tcW w:w="8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1A7C8532">
            <w:pPr>
              <w:spacing w:after="30" w:line="250" w:lineRule="auto"/>
            </w:pPr>
            <w:r>
              <w:rPr>
                <w:rFonts w:ascii="Calibri" w:hAnsi="Calibri" w:eastAsia="Calibri" w:cs="Calibri"/>
                <w:b w:val="0"/>
                <w:bCs w:val="0"/>
                <w:sz w:val="19"/>
                <w:szCs w:val="19"/>
              </w:rPr>
              <w:t>A</w:t>
            </w:r>
          </w:p>
        </w:tc>
      </w:tr>
      <w:tr w14:paraId="24009B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2C9C2F47">
            <w:pPr>
              <w:spacing w:after="30" w:line="250" w:lineRule="auto"/>
            </w:pPr>
            <w:r>
              <w:rPr>
                <w:rFonts w:ascii="Calibri" w:hAnsi="Calibri" w:eastAsia="Calibri" w:cs="Calibri"/>
                <w:b w:val="0"/>
                <w:bCs w:val="0"/>
                <w:sz w:val="19"/>
                <w:szCs w:val="19"/>
              </w:rPr>
              <w:t>8</w:t>
            </w:r>
          </w:p>
        </w:tc>
        <w:tc>
          <w:tcPr>
            <w:tcW w:w="39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17BFFE71">
            <w:pPr>
              <w:spacing w:after="30" w:line="250" w:lineRule="auto"/>
            </w:pPr>
            <w:r>
              <w:rPr>
                <w:rFonts w:ascii="Calibri" w:hAnsi="Calibri" w:eastAsia="Calibri" w:cs="Calibri"/>
                <w:b w:val="0"/>
                <w:bCs w:val="0"/>
                <w:sz w:val="19"/>
                <w:szCs w:val="19"/>
              </w:rPr>
              <w:t>Masa – Sede El Nogal</w:t>
            </w:r>
          </w:p>
        </w:tc>
        <w:tc>
          <w:tcPr>
            <w:tcW w:w="3304"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453D9129">
            <w:pPr>
              <w:spacing w:after="30" w:line="250" w:lineRule="auto"/>
            </w:pPr>
            <w:r>
              <w:rPr>
                <w:rFonts w:ascii="Calibri" w:hAnsi="Calibri" w:eastAsia="Calibri" w:cs="Calibri"/>
                <w:b w:val="0"/>
                <w:bCs w:val="0"/>
                <w:sz w:val="19"/>
                <w:szCs w:val="19"/>
              </w:rPr>
              <w:t>El Refugio y borde oriental</w:t>
            </w:r>
          </w:p>
        </w:tc>
        <w:tc>
          <w:tcPr>
            <w:tcW w:w="8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362CDBB7">
            <w:pPr>
              <w:spacing w:after="30" w:line="250" w:lineRule="auto"/>
            </w:pPr>
            <w:r>
              <w:rPr>
                <w:rFonts w:ascii="Calibri" w:hAnsi="Calibri" w:eastAsia="Calibri" w:cs="Calibri"/>
                <w:b w:val="0"/>
                <w:bCs w:val="0"/>
                <w:sz w:val="19"/>
                <w:szCs w:val="19"/>
              </w:rPr>
              <w:t>B</w:t>
            </w:r>
          </w:p>
        </w:tc>
      </w:tr>
      <w:tr w14:paraId="33CC47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25271FAF">
            <w:pPr>
              <w:spacing w:after="30" w:line="250" w:lineRule="auto"/>
            </w:pPr>
            <w:r>
              <w:rPr>
                <w:rFonts w:ascii="Calibri" w:hAnsi="Calibri" w:eastAsia="Calibri" w:cs="Calibri"/>
                <w:b w:val="0"/>
                <w:bCs w:val="0"/>
                <w:sz w:val="19"/>
                <w:szCs w:val="19"/>
              </w:rPr>
              <w:t>9</w:t>
            </w:r>
          </w:p>
        </w:tc>
        <w:tc>
          <w:tcPr>
            <w:tcW w:w="39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09CA5DF4">
            <w:pPr>
              <w:spacing w:after="30" w:line="250" w:lineRule="auto"/>
            </w:pPr>
            <w:r>
              <w:rPr>
                <w:rFonts w:ascii="Calibri" w:hAnsi="Calibri" w:eastAsia="Calibri" w:cs="Calibri"/>
                <w:b w:val="0"/>
                <w:bCs w:val="0"/>
                <w:sz w:val="19"/>
                <w:szCs w:val="19"/>
              </w:rPr>
              <w:t>Colo Coffee – Sede Chapinero</w:t>
            </w:r>
          </w:p>
        </w:tc>
        <w:tc>
          <w:tcPr>
            <w:tcW w:w="3304"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3FBF79DC">
            <w:pPr>
              <w:spacing w:after="30" w:line="250" w:lineRule="auto"/>
            </w:pPr>
            <w:r>
              <w:rPr>
                <w:rFonts w:ascii="Calibri" w:hAnsi="Calibri" w:eastAsia="Calibri" w:cs="Calibri"/>
                <w:b w:val="0"/>
                <w:bCs w:val="0"/>
                <w:sz w:val="19"/>
                <w:szCs w:val="19"/>
              </w:rPr>
              <w:t>Chapinero central y Zona Rosa</w:t>
            </w:r>
          </w:p>
        </w:tc>
        <w:tc>
          <w:tcPr>
            <w:tcW w:w="8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2263BD68">
            <w:pPr>
              <w:spacing w:after="30" w:line="250" w:lineRule="auto"/>
            </w:pPr>
            <w:r>
              <w:rPr>
                <w:rFonts w:ascii="Calibri" w:hAnsi="Calibri" w:eastAsia="Calibri" w:cs="Calibri"/>
                <w:b w:val="0"/>
                <w:bCs w:val="0"/>
                <w:sz w:val="19"/>
                <w:szCs w:val="19"/>
              </w:rPr>
              <w:t>B</w:t>
            </w:r>
          </w:p>
        </w:tc>
      </w:tr>
      <w:tr w14:paraId="7BDA62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1AC10DCF">
            <w:pPr>
              <w:spacing w:after="30" w:line="250" w:lineRule="auto"/>
            </w:pPr>
            <w:r>
              <w:rPr>
                <w:rFonts w:ascii="Calibri" w:hAnsi="Calibri" w:eastAsia="Calibri" w:cs="Calibri"/>
                <w:b w:val="0"/>
                <w:bCs w:val="0"/>
                <w:sz w:val="19"/>
                <w:szCs w:val="19"/>
              </w:rPr>
              <w:t>10</w:t>
            </w:r>
          </w:p>
        </w:tc>
        <w:tc>
          <w:tcPr>
            <w:tcW w:w="39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3530230F">
            <w:pPr>
              <w:spacing w:after="30" w:line="250" w:lineRule="auto"/>
            </w:pPr>
            <w:r>
              <w:rPr>
                <w:rFonts w:ascii="Calibri" w:hAnsi="Calibri" w:eastAsia="Calibri" w:cs="Calibri"/>
                <w:b w:val="0"/>
                <w:bCs w:val="0"/>
                <w:sz w:val="19"/>
                <w:szCs w:val="19"/>
              </w:rPr>
              <w:t>Libertario Coffee Roasters – Calle 85</w:t>
            </w:r>
          </w:p>
        </w:tc>
        <w:tc>
          <w:tcPr>
            <w:tcW w:w="3304"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62E4966B">
            <w:pPr>
              <w:spacing w:after="30" w:line="250" w:lineRule="auto"/>
            </w:pPr>
            <w:r>
              <w:rPr>
                <w:rFonts w:ascii="Calibri" w:hAnsi="Calibri" w:eastAsia="Calibri" w:cs="Calibri"/>
                <w:b w:val="0"/>
                <w:bCs w:val="0"/>
                <w:sz w:val="19"/>
                <w:szCs w:val="19"/>
              </w:rPr>
              <w:t>Chapinero central y Zona Rosa</w:t>
            </w:r>
          </w:p>
        </w:tc>
        <w:tc>
          <w:tcPr>
            <w:tcW w:w="8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0DB24A25">
            <w:pPr>
              <w:spacing w:after="30" w:line="250" w:lineRule="auto"/>
            </w:pPr>
            <w:r>
              <w:rPr>
                <w:rFonts w:ascii="Calibri" w:hAnsi="Calibri" w:eastAsia="Calibri" w:cs="Calibri"/>
                <w:b w:val="0"/>
                <w:bCs w:val="0"/>
                <w:sz w:val="19"/>
                <w:szCs w:val="19"/>
              </w:rPr>
              <w:t>B</w:t>
            </w:r>
          </w:p>
        </w:tc>
      </w:tr>
      <w:tr w14:paraId="79E1E0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2F09C4CD">
            <w:pPr>
              <w:spacing w:after="30" w:line="250" w:lineRule="auto"/>
            </w:pPr>
            <w:r>
              <w:rPr>
                <w:rFonts w:ascii="Calibri" w:hAnsi="Calibri" w:eastAsia="Calibri" w:cs="Calibri"/>
                <w:b w:val="0"/>
                <w:bCs w:val="0"/>
                <w:sz w:val="19"/>
                <w:szCs w:val="19"/>
              </w:rPr>
              <w:t>11</w:t>
            </w:r>
          </w:p>
        </w:tc>
        <w:tc>
          <w:tcPr>
            <w:tcW w:w="39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0933E72F">
            <w:pPr>
              <w:spacing w:after="30" w:line="250" w:lineRule="auto"/>
            </w:pPr>
            <w:r>
              <w:rPr>
                <w:rFonts w:ascii="Calibri" w:hAnsi="Calibri" w:eastAsia="Calibri" w:cs="Calibri"/>
                <w:b w:val="0"/>
                <w:bCs w:val="0"/>
                <w:sz w:val="19"/>
                <w:szCs w:val="19"/>
              </w:rPr>
              <w:t>Casa Café Cultor – Quinta Camacho</w:t>
            </w:r>
          </w:p>
        </w:tc>
        <w:tc>
          <w:tcPr>
            <w:tcW w:w="3304"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45F11273">
            <w:pPr>
              <w:spacing w:after="30" w:line="250" w:lineRule="auto"/>
            </w:pPr>
            <w:r>
              <w:rPr>
                <w:rFonts w:ascii="Calibri" w:hAnsi="Calibri" w:eastAsia="Calibri" w:cs="Calibri"/>
                <w:b w:val="0"/>
                <w:bCs w:val="0"/>
                <w:sz w:val="19"/>
                <w:szCs w:val="19"/>
              </w:rPr>
              <w:t>Quinta Camacho y Teusaquillo</w:t>
            </w:r>
          </w:p>
        </w:tc>
        <w:tc>
          <w:tcPr>
            <w:tcW w:w="8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5E31C598">
            <w:pPr>
              <w:spacing w:after="30" w:line="250" w:lineRule="auto"/>
            </w:pPr>
            <w:r>
              <w:rPr>
                <w:rFonts w:ascii="Calibri" w:hAnsi="Calibri" w:eastAsia="Calibri" w:cs="Calibri"/>
                <w:b w:val="0"/>
                <w:bCs w:val="0"/>
                <w:sz w:val="19"/>
                <w:szCs w:val="19"/>
              </w:rPr>
              <w:t>B</w:t>
            </w:r>
          </w:p>
        </w:tc>
      </w:tr>
      <w:tr w14:paraId="1B3C1A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6D3E892A">
            <w:pPr>
              <w:spacing w:after="30" w:line="250" w:lineRule="auto"/>
            </w:pPr>
            <w:r>
              <w:rPr>
                <w:rFonts w:ascii="Calibri" w:hAnsi="Calibri" w:eastAsia="Calibri" w:cs="Calibri"/>
                <w:b w:val="0"/>
                <w:bCs w:val="0"/>
                <w:sz w:val="19"/>
                <w:szCs w:val="19"/>
              </w:rPr>
              <w:t>12</w:t>
            </w:r>
          </w:p>
        </w:tc>
        <w:tc>
          <w:tcPr>
            <w:tcW w:w="39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7FE8C047">
            <w:pPr>
              <w:spacing w:after="30" w:line="250" w:lineRule="auto"/>
            </w:pPr>
            <w:r>
              <w:rPr>
                <w:rFonts w:ascii="Calibri" w:hAnsi="Calibri" w:eastAsia="Calibri" w:cs="Calibri"/>
                <w:b w:val="0"/>
                <w:bCs w:val="0"/>
                <w:sz w:val="19"/>
                <w:szCs w:val="19"/>
              </w:rPr>
              <w:t>Wilborada 1047 – Café Cultor</w:t>
            </w:r>
          </w:p>
        </w:tc>
        <w:tc>
          <w:tcPr>
            <w:tcW w:w="3304"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7D98484B">
            <w:pPr>
              <w:spacing w:after="30" w:line="250" w:lineRule="auto"/>
            </w:pPr>
            <w:r>
              <w:rPr>
                <w:rFonts w:ascii="Calibri" w:hAnsi="Calibri" w:eastAsia="Calibri" w:cs="Calibri"/>
                <w:b w:val="0"/>
                <w:bCs w:val="0"/>
                <w:sz w:val="19"/>
                <w:szCs w:val="19"/>
              </w:rPr>
              <w:t>Quinta Camacho y Teusaquillo</w:t>
            </w:r>
          </w:p>
        </w:tc>
        <w:tc>
          <w:tcPr>
            <w:tcW w:w="8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63CA2351">
            <w:pPr>
              <w:spacing w:after="30" w:line="250" w:lineRule="auto"/>
            </w:pPr>
            <w:r>
              <w:rPr>
                <w:rFonts w:ascii="Calibri" w:hAnsi="Calibri" w:eastAsia="Calibri" w:cs="Calibri"/>
                <w:b w:val="0"/>
                <w:bCs w:val="0"/>
                <w:sz w:val="19"/>
                <w:szCs w:val="19"/>
              </w:rPr>
              <w:t>B</w:t>
            </w:r>
          </w:p>
        </w:tc>
      </w:tr>
      <w:tr w14:paraId="6CD6A6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287F4B91">
            <w:pPr>
              <w:spacing w:after="30" w:line="250" w:lineRule="auto"/>
            </w:pPr>
            <w:r>
              <w:rPr>
                <w:rFonts w:ascii="Calibri" w:hAnsi="Calibri" w:eastAsia="Calibri" w:cs="Calibri"/>
                <w:b w:val="0"/>
                <w:bCs w:val="0"/>
                <w:sz w:val="19"/>
                <w:szCs w:val="19"/>
              </w:rPr>
              <w:t>13</w:t>
            </w:r>
          </w:p>
        </w:tc>
        <w:tc>
          <w:tcPr>
            <w:tcW w:w="39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164537B5">
            <w:pPr>
              <w:spacing w:after="30" w:line="250" w:lineRule="auto"/>
            </w:pPr>
            <w:r>
              <w:rPr>
                <w:rFonts w:ascii="Calibri" w:hAnsi="Calibri" w:eastAsia="Calibri" w:cs="Calibri"/>
                <w:b w:val="0"/>
                <w:bCs w:val="0"/>
                <w:sz w:val="19"/>
                <w:szCs w:val="19"/>
              </w:rPr>
              <w:t>Colo Coffee – Usaquén</w:t>
            </w:r>
          </w:p>
        </w:tc>
        <w:tc>
          <w:tcPr>
            <w:tcW w:w="3304"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43CC20F6">
            <w:pPr>
              <w:spacing w:after="30" w:line="250" w:lineRule="auto"/>
            </w:pPr>
            <w:r>
              <w:rPr>
                <w:rFonts w:ascii="Calibri" w:hAnsi="Calibri" w:eastAsia="Calibri" w:cs="Calibri"/>
                <w:b w:val="0"/>
                <w:bCs w:val="0"/>
                <w:sz w:val="19"/>
                <w:szCs w:val="19"/>
              </w:rPr>
              <w:t>Usaquén</w:t>
            </w:r>
          </w:p>
        </w:tc>
        <w:tc>
          <w:tcPr>
            <w:tcW w:w="8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48EE58E6">
            <w:pPr>
              <w:spacing w:after="30" w:line="250" w:lineRule="auto"/>
            </w:pPr>
            <w:r>
              <w:rPr>
                <w:rFonts w:ascii="Calibri" w:hAnsi="Calibri" w:eastAsia="Calibri" w:cs="Calibri"/>
                <w:b w:val="0"/>
                <w:bCs w:val="0"/>
                <w:sz w:val="19"/>
                <w:szCs w:val="19"/>
              </w:rPr>
              <w:t>B</w:t>
            </w:r>
          </w:p>
        </w:tc>
      </w:tr>
      <w:tr w14:paraId="0D6F49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6D3F8F86">
            <w:pPr>
              <w:spacing w:after="30" w:line="250" w:lineRule="auto"/>
            </w:pPr>
            <w:r>
              <w:rPr>
                <w:rFonts w:ascii="Calibri" w:hAnsi="Calibri" w:eastAsia="Calibri" w:cs="Calibri"/>
                <w:b w:val="0"/>
                <w:bCs w:val="0"/>
                <w:sz w:val="19"/>
                <w:szCs w:val="19"/>
              </w:rPr>
              <w:t>14</w:t>
            </w:r>
          </w:p>
        </w:tc>
        <w:tc>
          <w:tcPr>
            <w:tcW w:w="39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41A3EDC4">
            <w:pPr>
              <w:spacing w:after="30" w:line="250" w:lineRule="auto"/>
            </w:pPr>
            <w:r>
              <w:rPr>
                <w:rFonts w:ascii="Calibri" w:hAnsi="Calibri" w:eastAsia="Calibri" w:cs="Calibri"/>
                <w:b w:val="0"/>
                <w:bCs w:val="0"/>
                <w:sz w:val="19"/>
                <w:szCs w:val="19"/>
              </w:rPr>
              <w:t>Catación Pública – Usaquén</w:t>
            </w:r>
          </w:p>
        </w:tc>
        <w:tc>
          <w:tcPr>
            <w:tcW w:w="3304"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490E2CA6">
            <w:pPr>
              <w:spacing w:after="30" w:line="250" w:lineRule="auto"/>
            </w:pPr>
            <w:r>
              <w:rPr>
                <w:rFonts w:ascii="Calibri" w:hAnsi="Calibri" w:eastAsia="Calibri" w:cs="Calibri"/>
                <w:b w:val="0"/>
                <w:bCs w:val="0"/>
                <w:sz w:val="19"/>
                <w:szCs w:val="19"/>
              </w:rPr>
              <w:t>Usaquén</w:t>
            </w:r>
          </w:p>
        </w:tc>
        <w:tc>
          <w:tcPr>
            <w:tcW w:w="8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74B7DC7F">
            <w:pPr>
              <w:spacing w:after="30" w:line="250" w:lineRule="auto"/>
            </w:pPr>
            <w:r>
              <w:rPr>
                <w:rFonts w:ascii="Calibri" w:hAnsi="Calibri" w:eastAsia="Calibri" w:cs="Calibri"/>
                <w:b w:val="0"/>
                <w:bCs w:val="0"/>
                <w:sz w:val="19"/>
                <w:szCs w:val="19"/>
              </w:rPr>
              <w:t>B</w:t>
            </w:r>
          </w:p>
        </w:tc>
      </w:tr>
    </w:tbl>
    <w:p w14:paraId="7754075D">
      <w:pPr>
        <w:spacing w:after="80"/>
      </w:pPr>
    </w:p>
    <w:p w14:paraId="1F0C230D">
      <w:pPr>
        <w:pStyle w:val="3"/>
        <w:spacing w:before="200" w:after="100"/>
      </w:pPr>
      <w:r>
        <w:rPr>
          <w:rFonts w:ascii="Calibri" w:hAnsi="Calibri" w:eastAsia="Calibri" w:cs="Calibri"/>
          <w:b/>
          <w:bCs/>
          <w:color w:val="3B3B3B"/>
          <w:sz w:val="24"/>
          <w:szCs w:val="24"/>
        </w:rPr>
        <w:t>Horarios</w:t>
      </w:r>
    </w:p>
    <w:p w14:paraId="3ACD4F60">
      <w:pPr>
        <w:spacing w:after="120" w:line="276" w:lineRule="auto"/>
      </w:pPr>
      <w:r>
        <w:rPr>
          <w:rFonts w:ascii="Calibri" w:hAnsi="Calibri" w:eastAsia="Calibri" w:cs="Calibri"/>
          <w:sz w:val="22"/>
          <w:szCs w:val="22"/>
        </w:rPr>
        <w:t>3:00 – 6:00 pm, buscamos hacerlo en este horario ya que es donde más personas podemos encontrar en las distintas cafeterías. Se hará en días entre semana y se intentará cubrir al menos una visita en fin de semana por grupo, para no captar solo público de oficina.</w:t>
      </w:r>
    </w:p>
    <w:p w14:paraId="10BF3A4A">
      <w:pPr>
        <w:pStyle w:val="3"/>
        <w:spacing w:before="200" w:after="100"/>
      </w:pPr>
      <w:r>
        <w:rPr>
          <w:rFonts w:ascii="Calibri" w:hAnsi="Calibri" w:eastAsia="Calibri" w:cs="Calibri"/>
          <w:b/>
          <w:bCs/>
          <w:color w:val="3B3B3B"/>
          <w:sz w:val="24"/>
          <w:szCs w:val="24"/>
        </w:rPr>
        <w:t>Repartición</w:t>
      </w:r>
    </w:p>
    <w:p w14:paraId="23445E2F">
      <w:pPr>
        <w:spacing w:after="120" w:line="276" w:lineRule="auto"/>
      </w:pPr>
      <w:r>
        <w:rPr>
          <w:rFonts w:ascii="Calibri" w:hAnsi="Calibri" w:eastAsia="Calibri" w:cs="Calibri"/>
          <w:sz w:val="22"/>
          <w:szCs w:val="22"/>
        </w:rPr>
        <w:t>Nos dividiremos en dos grupos, de 2 y 3 integrantes cada uno; cada grupo se encargará de 7 cafeterías (14 en total), es decir, realizará las encuestas e interactuará con las distintas personas para recolectar la información necesaria. El reparto de la tabla agrupa las cafeterías por cercanía para reducir desplazamientos: el grupo A cubre La Macarena, Salitre, Chapinero Alto y Rosales; el grupo B cubre El Nogal, Chapinero central, Quinta Camacho y Usaquén. Cada grupo visita una cafetería por tarde y se rota para que ambos grupos tengan sectores de valor del suelo alto y bajo.</w:t>
      </w:r>
    </w:p>
    <w:p w14:paraId="4A6597FE">
      <w:pPr>
        <w:pStyle w:val="3"/>
        <w:spacing w:before="200" w:after="100"/>
      </w:pPr>
      <w:r>
        <w:rPr>
          <w:rFonts w:ascii="Calibri" w:hAnsi="Calibri" w:eastAsia="Calibri" w:cs="Calibri"/>
          <w:b/>
          <w:bCs/>
          <w:color w:val="3B3B3B"/>
          <w:sz w:val="24"/>
          <w:szCs w:val="24"/>
        </w:rPr>
        <w:t>Abordaje de los encuestados</w:t>
      </w:r>
    </w:p>
    <w:p w14:paraId="0ABA8099">
      <w:pPr>
        <w:pStyle w:val="16"/>
        <w:numPr>
          <w:ilvl w:val="0"/>
          <w:numId w:val="1"/>
        </w:numPr>
        <w:spacing w:after="70" w:line="270" w:lineRule="auto"/>
      </w:pPr>
      <w:r>
        <w:rPr>
          <w:rFonts w:ascii="Calibri" w:hAnsi="Calibri" w:eastAsia="Calibri" w:cs="Calibri"/>
          <w:sz w:val="22"/>
          <w:szCs w:val="22"/>
        </w:rPr>
        <w:t>Se aborda a personas mayores de edad, dentro o en los alrededores inmediatos de la cafetería, con un saludo breve que presenta al equipo, el propósito académico y la duración (unos 3 minutos).</w:t>
      </w:r>
    </w:p>
    <w:p w14:paraId="6DFBC650">
      <w:pPr>
        <w:pStyle w:val="16"/>
        <w:numPr>
          <w:ilvl w:val="0"/>
          <w:numId w:val="1"/>
        </w:numPr>
        <w:spacing w:after="70" w:line="270" w:lineRule="auto"/>
      </w:pPr>
      <w:r>
        <w:rPr>
          <w:rFonts w:ascii="Calibri" w:hAnsi="Calibri" w:eastAsia="Calibri" w:cs="Calibri"/>
          <w:sz w:val="22"/>
          <w:szCs w:val="22"/>
        </w:rPr>
        <w:t>Se lee el consentimiento informado antes de empezar: participación voluntaria, anonimato y uso solo académico. Si la persona no acepta, se agradece y se pasa a la siguiente.</w:t>
      </w:r>
    </w:p>
    <w:p w14:paraId="62D7692A">
      <w:pPr>
        <w:pStyle w:val="16"/>
        <w:numPr>
          <w:ilvl w:val="0"/>
          <w:numId w:val="1"/>
        </w:numPr>
        <w:spacing w:after="70" w:line="270" w:lineRule="auto"/>
      </w:pPr>
      <w:r>
        <w:rPr>
          <w:rFonts w:ascii="Calibri" w:hAnsi="Calibri" w:eastAsia="Calibri" w:cs="Calibri"/>
          <w:sz w:val="22"/>
          <w:szCs w:val="22"/>
        </w:rPr>
        <w:t>Se invita a personas distintas de forma alterna (por ejemplo, a una de cada tres que lleguen), para no escoger solo a quienes parecen más dispuestos.</w:t>
      </w:r>
    </w:p>
    <w:p w14:paraId="72B63561">
      <w:pPr>
        <w:pStyle w:val="16"/>
        <w:numPr>
          <w:ilvl w:val="0"/>
          <w:numId w:val="1"/>
        </w:numPr>
        <w:spacing w:after="70" w:line="270" w:lineRule="auto"/>
      </w:pPr>
      <w:r>
        <w:rPr>
          <w:rFonts w:ascii="Calibri" w:hAnsi="Calibri" w:eastAsia="Calibri" w:cs="Calibri"/>
          <w:sz w:val="22"/>
          <w:szCs w:val="22"/>
        </w:rPr>
        <w:t>No se pregunta nombre, contacto ni datos sensibles (edad, género, ingresos). El perfil de la persona sale de la pregunta 1.</w:t>
      </w:r>
    </w:p>
    <w:p w14:paraId="39E385DD">
      <w:pPr>
        <w:pStyle w:val="16"/>
        <w:numPr>
          <w:ilvl w:val="0"/>
          <w:numId w:val="1"/>
        </w:numPr>
        <w:spacing w:after="70" w:line="270" w:lineRule="auto"/>
      </w:pPr>
      <w:r>
        <w:rPr>
          <w:rFonts w:ascii="Calibri" w:hAnsi="Calibri" w:eastAsia="Calibri" w:cs="Calibri"/>
          <w:sz w:val="22"/>
          <w:szCs w:val="22"/>
        </w:rPr>
        <w:t>El encuestador registra, sin preguntar, el identificador de la cafetería, la fecha, la hora y el encuestador.</w:t>
      </w:r>
    </w:p>
    <w:p w14:paraId="52B2C862">
      <w:pPr>
        <w:pStyle w:val="2"/>
        <w:spacing w:before="300" w:after="120"/>
      </w:pPr>
      <w:r>
        <w:rPr>
          <w:rFonts w:ascii="Calibri" w:hAnsi="Calibri" w:eastAsia="Calibri" w:cs="Calibri"/>
          <w:b/>
          <w:bCs/>
          <w:color w:val="7A4A1E"/>
          <w:sz w:val="28"/>
          <w:szCs w:val="28"/>
        </w:rPr>
        <w:t>4. ¿Para qué se va a utilizar cada variable?</w:t>
      </w:r>
    </w:p>
    <w:p w14:paraId="384B0016">
      <w:pPr>
        <w:pStyle w:val="3"/>
        <w:spacing w:before="200" w:after="100"/>
      </w:pPr>
      <w:r>
        <w:rPr>
          <w:rFonts w:ascii="Calibri" w:hAnsi="Calibri" w:eastAsia="Calibri" w:cs="Calibri"/>
          <w:b/>
          <w:bCs/>
          <w:color w:val="3B3B3B"/>
          <w:sz w:val="24"/>
          <w:szCs w:val="24"/>
        </w:rPr>
        <w:t>4.1 Variables de la encuesta</w:t>
      </w:r>
    </w:p>
    <w:p w14:paraId="78970369">
      <w:pPr>
        <w:spacing w:after="120" w:line="276" w:lineRule="auto"/>
      </w:pPr>
      <w:r>
        <w:rPr>
          <w:rFonts w:ascii="Calibri" w:hAnsi="Calibri" w:eastAsia="Calibri" w:cs="Calibri"/>
          <w:sz w:val="22"/>
          <w:szCs w:val="22"/>
        </w:rPr>
        <w:t>Las respuestas “No sé / no conozco el sector” (preguntas 2, 5, 6, 7 y 8) se codifican aparte: informan cuánto conoce el sector la muestra, pero no entran a los índices ni a las pruebas de percepción.</w:t>
      </w:r>
    </w:p>
    <w:tbl>
      <w:tblPr>
        <w:tblStyle w:val="9"/>
        <w:tblW w:w="850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1700"/>
        <w:gridCol w:w="4804"/>
      </w:tblGrid>
      <w:tr w14:paraId="46B23F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00" w:type="dxa"/>
            <w:tcBorders>
              <w:top w:val="single" w:color="BFBFBF" w:sz="4" w:space="0"/>
              <w:left w:val="single" w:color="BFBFBF" w:sz="4" w:space="0"/>
              <w:bottom w:val="single" w:color="BFBFBF" w:sz="4" w:space="0"/>
              <w:right w:val="single" w:color="BFBFBF" w:sz="4" w:space="0"/>
            </w:tcBorders>
            <w:shd w:val="clear" w:color="auto" w:fill="EADBC8"/>
            <w:tcMar>
              <w:top w:w="60" w:type="dxa"/>
              <w:left w:w="90" w:type="dxa"/>
              <w:bottom w:w="60" w:type="dxa"/>
              <w:right w:w="90" w:type="dxa"/>
            </w:tcMar>
          </w:tcPr>
          <w:p w14:paraId="37AD06D4">
            <w:pPr>
              <w:spacing w:after="30" w:line="250" w:lineRule="auto"/>
            </w:pPr>
            <w:r>
              <w:rPr>
                <w:rFonts w:ascii="Calibri" w:hAnsi="Calibri" w:eastAsia="Calibri" w:cs="Calibri"/>
                <w:b/>
                <w:bCs/>
                <w:sz w:val="19"/>
                <w:szCs w:val="19"/>
              </w:rPr>
              <w:t>Variable</w:t>
            </w:r>
          </w:p>
        </w:tc>
        <w:tc>
          <w:tcPr>
            <w:tcW w:w="1700" w:type="dxa"/>
            <w:tcBorders>
              <w:top w:val="single" w:color="BFBFBF" w:sz="4" w:space="0"/>
              <w:left w:val="single" w:color="BFBFBF" w:sz="4" w:space="0"/>
              <w:bottom w:val="single" w:color="BFBFBF" w:sz="4" w:space="0"/>
              <w:right w:val="single" w:color="BFBFBF" w:sz="4" w:space="0"/>
            </w:tcBorders>
            <w:shd w:val="clear" w:color="auto" w:fill="EADBC8"/>
            <w:tcMar>
              <w:top w:w="60" w:type="dxa"/>
              <w:left w:w="90" w:type="dxa"/>
              <w:bottom w:w="60" w:type="dxa"/>
              <w:right w:w="90" w:type="dxa"/>
            </w:tcMar>
          </w:tcPr>
          <w:p w14:paraId="071788E3">
            <w:pPr>
              <w:spacing w:after="30" w:line="250" w:lineRule="auto"/>
            </w:pPr>
            <w:r>
              <w:rPr>
                <w:rFonts w:ascii="Calibri" w:hAnsi="Calibri" w:eastAsia="Calibri" w:cs="Calibri"/>
                <w:b/>
                <w:bCs/>
                <w:sz w:val="19"/>
                <w:szCs w:val="19"/>
              </w:rPr>
              <w:t>Tipo</w:t>
            </w:r>
          </w:p>
        </w:tc>
        <w:tc>
          <w:tcPr>
            <w:tcW w:w="4804" w:type="dxa"/>
            <w:tcBorders>
              <w:top w:val="single" w:color="BFBFBF" w:sz="4" w:space="0"/>
              <w:left w:val="single" w:color="BFBFBF" w:sz="4" w:space="0"/>
              <w:bottom w:val="single" w:color="BFBFBF" w:sz="4" w:space="0"/>
              <w:right w:val="single" w:color="BFBFBF" w:sz="4" w:space="0"/>
            </w:tcBorders>
            <w:shd w:val="clear" w:color="auto" w:fill="EADBC8"/>
            <w:tcMar>
              <w:top w:w="60" w:type="dxa"/>
              <w:left w:w="90" w:type="dxa"/>
              <w:bottom w:w="60" w:type="dxa"/>
              <w:right w:w="90" w:type="dxa"/>
            </w:tcMar>
          </w:tcPr>
          <w:p w14:paraId="08CA2831">
            <w:pPr>
              <w:spacing w:after="30" w:line="250" w:lineRule="auto"/>
            </w:pPr>
            <w:r>
              <w:rPr>
                <w:rFonts w:ascii="Calibri" w:hAnsi="Calibri" w:eastAsia="Calibri" w:cs="Calibri"/>
                <w:b/>
                <w:bCs/>
                <w:sz w:val="19"/>
                <w:szCs w:val="19"/>
              </w:rPr>
              <w:t>Para qué se utiliza</w:t>
            </w:r>
          </w:p>
        </w:tc>
      </w:tr>
      <w:tr w14:paraId="61378E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06ADCEAC">
            <w:pPr>
              <w:spacing w:after="30" w:line="250" w:lineRule="auto"/>
            </w:pPr>
            <w:r>
              <w:rPr>
                <w:rFonts w:ascii="Calibri" w:hAnsi="Calibri" w:eastAsia="Calibri" w:cs="Calibri"/>
                <w:b w:val="0"/>
                <w:bCs w:val="0"/>
                <w:sz w:val="19"/>
                <w:szCs w:val="19"/>
              </w:rPr>
              <w:t>P1. Relación con el sector</w:t>
            </w:r>
          </w:p>
        </w:tc>
        <w:tc>
          <w:tcPr>
            <w:tcW w:w="17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7BE52485">
            <w:pPr>
              <w:spacing w:after="30" w:line="250" w:lineRule="auto"/>
            </w:pPr>
            <w:r>
              <w:rPr>
                <w:rFonts w:ascii="Calibri" w:hAnsi="Calibri" w:eastAsia="Calibri" w:cs="Calibri"/>
                <w:b w:val="0"/>
                <w:bCs w:val="0"/>
                <w:sz w:val="19"/>
                <w:szCs w:val="19"/>
              </w:rPr>
              <w:t>Categórica (4 opciones)</w:t>
            </w:r>
          </w:p>
        </w:tc>
        <w:tc>
          <w:tcPr>
            <w:tcW w:w="4804"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09F99E0D">
            <w:pPr>
              <w:spacing w:after="30" w:line="250" w:lineRule="auto"/>
            </w:pPr>
            <w:r>
              <w:rPr>
                <w:rFonts w:ascii="Calibri" w:hAnsi="Calibri" w:eastAsia="Calibri" w:cs="Calibri"/>
                <w:b w:val="0"/>
                <w:bCs w:val="0"/>
                <w:sz w:val="19"/>
                <w:szCs w:val="19"/>
              </w:rPr>
              <w:t>Variable de segmentación. Se usa para describir quién respondió y para comparar las demás respuestas entre residentes, trabajadores/estudiantes y visitantes. Los residentes son quienes pueden hablar de arriendos y desplazamiento; los visitantes, de consumo.</w:t>
            </w:r>
          </w:p>
        </w:tc>
      </w:tr>
      <w:tr w14:paraId="26ABA5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40ED21F7">
            <w:pPr>
              <w:spacing w:after="30" w:line="250" w:lineRule="auto"/>
            </w:pPr>
            <w:r>
              <w:rPr>
                <w:rFonts w:ascii="Calibri" w:hAnsi="Calibri" w:eastAsia="Calibri" w:cs="Calibri"/>
                <w:b w:val="0"/>
                <w:bCs w:val="0"/>
                <w:sz w:val="19"/>
                <w:szCs w:val="19"/>
              </w:rPr>
              <w:t>P2. Tipo de negocios nuevos vistos</w:t>
            </w:r>
          </w:p>
        </w:tc>
        <w:tc>
          <w:tcPr>
            <w:tcW w:w="17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67FCCA36">
            <w:pPr>
              <w:spacing w:after="30" w:line="250" w:lineRule="auto"/>
            </w:pPr>
            <w:r>
              <w:rPr>
                <w:rFonts w:ascii="Calibri" w:hAnsi="Calibri" w:eastAsia="Calibri" w:cs="Calibri"/>
                <w:b w:val="0"/>
                <w:bCs w:val="0"/>
                <w:sz w:val="19"/>
                <w:szCs w:val="19"/>
              </w:rPr>
              <w:t>Categórica (4 opciones)</w:t>
            </w:r>
          </w:p>
        </w:tc>
        <w:tc>
          <w:tcPr>
            <w:tcW w:w="4804"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20EFDB0F">
            <w:pPr>
              <w:spacing w:after="30" w:line="250" w:lineRule="auto"/>
            </w:pPr>
            <w:r>
              <w:rPr>
                <w:rFonts w:ascii="Calibri" w:hAnsi="Calibri" w:eastAsia="Calibri" w:cs="Calibri"/>
                <w:b w:val="0"/>
                <w:bCs w:val="0"/>
                <w:sz w:val="19"/>
                <w:szCs w:val="19"/>
              </w:rPr>
              <w:t>Mide el reemplazo comercial percibido (cafés y tiendas de diseño frente a negocios tradicionales). Se contrasta con la concentración de cafeterías y el valor del suelo del barrio: ¿se percibe más negocio “moderno” donde hay más cafeterías o suelo más caro?</w:t>
            </w:r>
          </w:p>
        </w:tc>
      </w:tr>
      <w:tr w14:paraId="0ECDAF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5CB41302">
            <w:pPr>
              <w:spacing w:after="30" w:line="250" w:lineRule="auto"/>
            </w:pPr>
            <w:r>
              <w:rPr>
                <w:rFonts w:ascii="Calibri" w:hAnsi="Calibri" w:eastAsia="Calibri" w:cs="Calibri"/>
                <w:b w:val="0"/>
                <w:bCs w:val="0"/>
                <w:sz w:val="19"/>
                <w:szCs w:val="19"/>
              </w:rPr>
              <w:t>P3. Frecuencia de visita a cafés/restaurantes nuevos</w:t>
            </w:r>
          </w:p>
        </w:tc>
        <w:tc>
          <w:tcPr>
            <w:tcW w:w="17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197AD1F2">
            <w:pPr>
              <w:spacing w:after="30" w:line="250" w:lineRule="auto"/>
            </w:pPr>
            <w:r>
              <w:rPr>
                <w:rFonts w:ascii="Calibri" w:hAnsi="Calibri" w:eastAsia="Calibri" w:cs="Calibri"/>
                <w:b w:val="0"/>
                <w:bCs w:val="0"/>
                <w:sz w:val="19"/>
                <w:szCs w:val="19"/>
              </w:rPr>
              <w:t>Ordinal (4 niveles)</w:t>
            </w:r>
          </w:p>
        </w:tc>
        <w:tc>
          <w:tcPr>
            <w:tcW w:w="4804"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72B959CD">
            <w:pPr>
              <w:spacing w:after="30" w:line="250" w:lineRule="auto"/>
            </w:pPr>
            <w:r>
              <w:rPr>
                <w:rFonts w:ascii="Calibri" w:hAnsi="Calibri" w:eastAsia="Calibri" w:cs="Calibri"/>
                <w:b w:val="0"/>
                <w:bCs w:val="0"/>
                <w:sz w:val="19"/>
                <w:szCs w:val="19"/>
              </w:rPr>
              <w:t>Caracteriza la demanda y el consumo: ¿quién usa estos negocios y con qué intensidad? Se cruza con P1 para ver si los clientes frecuentes son residentes o visitantes, lo que indica a quién va dirigida la oferta.</w:t>
            </w:r>
          </w:p>
        </w:tc>
      </w:tr>
      <w:tr w14:paraId="2E0005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640393B9">
            <w:pPr>
              <w:spacing w:after="30" w:line="250" w:lineRule="auto"/>
            </w:pPr>
            <w:r>
              <w:rPr>
                <w:rFonts w:ascii="Calibri" w:hAnsi="Calibri" w:eastAsia="Calibri" w:cs="Calibri"/>
                <w:b w:val="0"/>
                <w:bCs w:val="0"/>
                <w:sz w:val="19"/>
                <w:szCs w:val="19"/>
              </w:rPr>
              <w:t>P4. Motivación para venir (máximo 2)</w:t>
            </w:r>
          </w:p>
        </w:tc>
        <w:tc>
          <w:tcPr>
            <w:tcW w:w="17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48D26D8F">
            <w:pPr>
              <w:spacing w:after="30" w:line="250" w:lineRule="auto"/>
            </w:pPr>
            <w:r>
              <w:rPr>
                <w:rFonts w:ascii="Calibri" w:hAnsi="Calibri" w:eastAsia="Calibri" w:cs="Calibri"/>
                <w:b w:val="0"/>
                <w:bCs w:val="0"/>
                <w:sz w:val="19"/>
                <w:szCs w:val="19"/>
              </w:rPr>
              <w:t>Respuesta múltiple (5 dummies)</w:t>
            </w:r>
          </w:p>
        </w:tc>
        <w:tc>
          <w:tcPr>
            <w:tcW w:w="4804"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3A0E15EC">
            <w:pPr>
              <w:spacing w:after="30" w:line="250" w:lineRule="auto"/>
            </w:pPr>
            <w:r>
              <w:rPr>
                <w:rFonts w:ascii="Calibri" w:hAnsi="Calibri" w:eastAsia="Calibri" w:cs="Calibri"/>
                <w:b w:val="0"/>
                <w:bCs w:val="0"/>
                <w:sz w:val="19"/>
                <w:szCs w:val="19"/>
              </w:rPr>
              <w:t>Explica por qué los sectores atraen público: la oferta de cafés, el entorno bonito, la cercanía, la seguridad o la recomendación. Se mide cuánto pesan las cafeterías frente a otros atractivos del sector, lo que sirve para discutir si la cafetería es causa o consecuencia de la valorización.</w:t>
            </w:r>
          </w:p>
        </w:tc>
      </w:tr>
      <w:tr w14:paraId="268F1B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7ADCF57B">
            <w:pPr>
              <w:spacing w:after="30" w:line="250" w:lineRule="auto"/>
            </w:pPr>
            <w:r>
              <w:rPr>
                <w:rFonts w:ascii="Calibri" w:hAnsi="Calibri" w:eastAsia="Calibri" w:cs="Calibri"/>
                <w:b w:val="0"/>
                <w:bCs w:val="0"/>
                <w:sz w:val="19"/>
                <w:szCs w:val="19"/>
              </w:rPr>
              <w:t>P5. Cambio percibido en precios</w:t>
            </w:r>
          </w:p>
        </w:tc>
        <w:tc>
          <w:tcPr>
            <w:tcW w:w="17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3DAFAB6B">
            <w:pPr>
              <w:spacing w:after="30" w:line="250" w:lineRule="auto"/>
            </w:pPr>
            <w:r>
              <w:rPr>
                <w:rFonts w:ascii="Calibri" w:hAnsi="Calibri" w:eastAsia="Calibri" w:cs="Calibri"/>
                <w:b w:val="0"/>
                <w:bCs w:val="0"/>
                <w:sz w:val="19"/>
                <w:szCs w:val="19"/>
              </w:rPr>
              <w:t>Ordinal (de “mucho más caro” a “igual”) + “no puede comparar”</w:t>
            </w:r>
          </w:p>
        </w:tc>
        <w:tc>
          <w:tcPr>
            <w:tcW w:w="4804"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111B5BEF">
            <w:pPr>
              <w:spacing w:after="30" w:line="250" w:lineRule="auto"/>
            </w:pPr>
            <w:r>
              <w:rPr>
                <w:rFonts w:ascii="Calibri" w:hAnsi="Calibri" w:eastAsia="Calibri" w:cs="Calibri"/>
                <w:b w:val="0"/>
                <w:bCs w:val="0"/>
                <w:sz w:val="19"/>
                <w:szCs w:val="19"/>
              </w:rPr>
              <w:t>Aproxima la presión de precios en el comercio local. Se compara con el valor del suelo y su variación en el barrio. Si coinciden, refuerza la asociación; si no, la matiza.</w:t>
            </w:r>
          </w:p>
        </w:tc>
      </w:tr>
      <w:tr w14:paraId="320E89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69039C46">
            <w:pPr>
              <w:spacing w:after="30" w:line="250" w:lineRule="auto"/>
            </w:pPr>
            <w:r>
              <w:rPr>
                <w:rFonts w:ascii="Calibri" w:hAnsi="Calibri" w:eastAsia="Calibri" w:cs="Calibri"/>
                <w:b w:val="0"/>
                <w:bCs w:val="0"/>
                <w:sz w:val="19"/>
                <w:szCs w:val="19"/>
              </w:rPr>
              <w:t>P6. Cambio en arriendos y habitantes</w:t>
            </w:r>
          </w:p>
        </w:tc>
        <w:tc>
          <w:tcPr>
            <w:tcW w:w="17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5266B4E2">
            <w:pPr>
              <w:spacing w:after="30" w:line="250" w:lineRule="auto"/>
            </w:pPr>
            <w:r>
              <w:rPr>
                <w:rFonts w:ascii="Calibri" w:hAnsi="Calibri" w:eastAsia="Calibri" w:cs="Calibri"/>
                <w:b w:val="0"/>
                <w:bCs w:val="0"/>
                <w:sz w:val="19"/>
                <w:szCs w:val="19"/>
              </w:rPr>
              <w:t>Categórica (4 opciones)</w:t>
            </w:r>
          </w:p>
        </w:tc>
        <w:tc>
          <w:tcPr>
            <w:tcW w:w="4804"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33F955E8">
            <w:pPr>
              <w:spacing w:after="30" w:line="250" w:lineRule="auto"/>
            </w:pPr>
            <w:r>
              <w:rPr>
                <w:rFonts w:ascii="Calibri" w:hAnsi="Calibri" w:eastAsia="Calibri" w:cs="Calibri"/>
                <w:b w:val="0"/>
                <w:bCs w:val="0"/>
                <w:sz w:val="19"/>
                <w:szCs w:val="19"/>
              </w:rPr>
              <w:t>Es la variable más cercana a la valorización y al desplazamiento residencial. Se compara con la variación del valor del suelo 2016–2025 del barrio y se desagrega por P1 (los residentes son la fuente más informada).</w:t>
            </w:r>
          </w:p>
        </w:tc>
      </w:tr>
      <w:tr w14:paraId="284D55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72E05CDC">
            <w:pPr>
              <w:spacing w:after="30" w:line="250" w:lineRule="auto"/>
            </w:pPr>
            <w:r>
              <w:rPr>
                <w:rFonts w:ascii="Calibri" w:hAnsi="Calibri" w:eastAsia="Calibri" w:cs="Calibri"/>
                <w:b w:val="0"/>
                <w:bCs w:val="0"/>
                <w:sz w:val="19"/>
                <w:szCs w:val="19"/>
              </w:rPr>
              <w:t>P7. Relación entre negocios nuevos y tradicionales</w:t>
            </w:r>
          </w:p>
        </w:tc>
        <w:tc>
          <w:tcPr>
            <w:tcW w:w="17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23AB4D1E">
            <w:pPr>
              <w:spacing w:after="30" w:line="250" w:lineRule="auto"/>
            </w:pPr>
            <w:r>
              <w:rPr>
                <w:rFonts w:ascii="Calibri" w:hAnsi="Calibri" w:eastAsia="Calibri" w:cs="Calibri"/>
                <w:b w:val="0"/>
                <w:bCs w:val="0"/>
                <w:sz w:val="19"/>
                <w:szCs w:val="19"/>
              </w:rPr>
              <w:t>Categórica (4 opciones)</w:t>
            </w:r>
          </w:p>
        </w:tc>
        <w:tc>
          <w:tcPr>
            <w:tcW w:w="4804"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675D8543">
            <w:pPr>
              <w:spacing w:after="30" w:line="250" w:lineRule="auto"/>
            </w:pPr>
            <w:r>
              <w:rPr>
                <w:rFonts w:ascii="Calibri" w:hAnsi="Calibri" w:eastAsia="Calibri" w:cs="Calibri"/>
                <w:b w:val="0"/>
                <w:bCs w:val="0"/>
                <w:sz w:val="19"/>
                <w:szCs w:val="19"/>
              </w:rPr>
              <w:t>Mide si se percibe complementariedad, indiferencia o desplazamiento comercial. Es el indicador directo de gentrificación comercial (reemplazo de negocios tradicionales) y se cruza con la densidad de cafeterías.</w:t>
            </w:r>
          </w:p>
        </w:tc>
      </w:tr>
      <w:tr w14:paraId="63C959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2FABBEFE">
            <w:pPr>
              <w:spacing w:after="30" w:line="250" w:lineRule="auto"/>
            </w:pPr>
            <w:r>
              <w:rPr>
                <w:rFonts w:ascii="Calibri" w:hAnsi="Calibri" w:eastAsia="Calibri" w:cs="Calibri"/>
                <w:b w:val="0"/>
                <w:bCs w:val="0"/>
                <w:sz w:val="19"/>
                <w:szCs w:val="19"/>
              </w:rPr>
              <w:t>P8. Cambio general del sector</w:t>
            </w:r>
          </w:p>
        </w:tc>
        <w:tc>
          <w:tcPr>
            <w:tcW w:w="17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55CEBB6A">
            <w:pPr>
              <w:spacing w:after="30" w:line="250" w:lineRule="auto"/>
            </w:pPr>
            <w:r>
              <w:rPr>
                <w:rFonts w:ascii="Calibri" w:hAnsi="Calibri" w:eastAsia="Calibri" w:cs="Calibri"/>
                <w:b w:val="0"/>
                <w:bCs w:val="0"/>
                <w:sz w:val="19"/>
                <w:szCs w:val="19"/>
              </w:rPr>
              <w:t>Categórica / ordinal (5 opciones)</w:t>
            </w:r>
          </w:p>
        </w:tc>
        <w:tc>
          <w:tcPr>
            <w:tcW w:w="4804"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2CC88DD3">
            <w:pPr>
              <w:spacing w:after="30" w:line="250" w:lineRule="auto"/>
            </w:pPr>
            <w:r>
              <w:rPr>
                <w:rFonts w:ascii="Calibri" w:hAnsi="Calibri" w:eastAsia="Calibri" w:cs="Calibri"/>
                <w:b w:val="0"/>
                <w:bCs w:val="0"/>
                <w:sz w:val="19"/>
                <w:szCs w:val="19"/>
              </w:rPr>
              <w:t>Es la valoración global: separa quienes ven mejora, mejora con encarecimiento, igual o empeoramiento (“más para gente diferente”). Resume la percepción por sector y sirve de contraste con la lectura de las demás preguntas.</w:t>
            </w:r>
          </w:p>
        </w:tc>
      </w:tr>
    </w:tbl>
    <w:p w14:paraId="6C4E221C">
      <w:pPr>
        <w:spacing w:after="80"/>
      </w:pPr>
    </w:p>
    <w:p w14:paraId="32945D42">
      <w:pPr>
        <w:pStyle w:val="3"/>
        <w:spacing w:before="200" w:after="100"/>
      </w:pPr>
      <w:r>
        <w:rPr>
          <w:rFonts w:ascii="Calibri" w:hAnsi="Calibri" w:eastAsia="Calibri" w:cs="Calibri"/>
          <w:b/>
          <w:bCs/>
          <w:color w:val="3B3B3B"/>
          <w:sz w:val="24"/>
          <w:szCs w:val="24"/>
        </w:rPr>
        <w:t>4.2 Variables registradas por el equipo y de fuentes secundarias</w:t>
      </w:r>
    </w:p>
    <w:tbl>
      <w:tblPr>
        <w:tblStyle w:val="9"/>
        <w:tblW w:w="850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5504"/>
      </w:tblGrid>
      <w:tr w14:paraId="447B42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0" w:type="dxa"/>
            <w:tcBorders>
              <w:top w:val="single" w:color="BFBFBF" w:sz="4" w:space="0"/>
              <w:left w:val="single" w:color="BFBFBF" w:sz="4" w:space="0"/>
              <w:bottom w:val="single" w:color="BFBFBF" w:sz="4" w:space="0"/>
              <w:right w:val="single" w:color="BFBFBF" w:sz="4" w:space="0"/>
            </w:tcBorders>
            <w:shd w:val="clear" w:color="auto" w:fill="EADBC8"/>
            <w:tcMar>
              <w:top w:w="60" w:type="dxa"/>
              <w:left w:w="90" w:type="dxa"/>
              <w:bottom w:w="60" w:type="dxa"/>
              <w:right w:w="90" w:type="dxa"/>
            </w:tcMar>
          </w:tcPr>
          <w:p w14:paraId="7D53EA57">
            <w:pPr>
              <w:spacing w:after="30" w:line="250" w:lineRule="auto"/>
            </w:pPr>
            <w:r>
              <w:rPr>
                <w:rFonts w:ascii="Calibri" w:hAnsi="Calibri" w:eastAsia="Calibri" w:cs="Calibri"/>
                <w:b/>
                <w:bCs/>
                <w:sz w:val="19"/>
                <w:szCs w:val="19"/>
              </w:rPr>
              <w:t>Variable</w:t>
            </w:r>
          </w:p>
        </w:tc>
        <w:tc>
          <w:tcPr>
            <w:tcW w:w="5504" w:type="dxa"/>
            <w:tcBorders>
              <w:top w:val="single" w:color="BFBFBF" w:sz="4" w:space="0"/>
              <w:left w:val="single" w:color="BFBFBF" w:sz="4" w:space="0"/>
              <w:bottom w:val="single" w:color="BFBFBF" w:sz="4" w:space="0"/>
              <w:right w:val="single" w:color="BFBFBF" w:sz="4" w:space="0"/>
            </w:tcBorders>
            <w:shd w:val="clear" w:color="auto" w:fill="EADBC8"/>
            <w:tcMar>
              <w:top w:w="60" w:type="dxa"/>
              <w:left w:w="90" w:type="dxa"/>
              <w:bottom w:w="60" w:type="dxa"/>
              <w:right w:w="90" w:type="dxa"/>
            </w:tcMar>
          </w:tcPr>
          <w:p w14:paraId="4E43EB08">
            <w:pPr>
              <w:spacing w:after="30" w:line="250" w:lineRule="auto"/>
            </w:pPr>
            <w:r>
              <w:rPr>
                <w:rFonts w:ascii="Calibri" w:hAnsi="Calibri" w:eastAsia="Calibri" w:cs="Calibri"/>
                <w:b/>
                <w:bCs/>
                <w:sz w:val="19"/>
                <w:szCs w:val="19"/>
              </w:rPr>
              <w:t>Para qué se utiliza</w:t>
            </w:r>
          </w:p>
        </w:tc>
      </w:tr>
      <w:tr w14:paraId="1C0810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6A86CF4A">
            <w:pPr>
              <w:spacing w:after="30" w:line="250" w:lineRule="auto"/>
            </w:pPr>
            <w:r>
              <w:rPr>
                <w:rFonts w:ascii="Calibri" w:hAnsi="Calibri" w:eastAsia="Calibri" w:cs="Calibri"/>
                <w:b w:val="0"/>
                <w:bCs w:val="0"/>
                <w:sz w:val="19"/>
                <w:szCs w:val="19"/>
              </w:rPr>
              <w:t>ID de cafetería y barrio</w:t>
            </w:r>
          </w:p>
        </w:tc>
        <w:tc>
          <w:tcPr>
            <w:tcW w:w="5504"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41345F4B">
            <w:pPr>
              <w:spacing w:after="30" w:line="250" w:lineRule="auto"/>
            </w:pPr>
            <w:r>
              <w:rPr>
                <w:rFonts w:ascii="Calibri" w:hAnsi="Calibri" w:eastAsia="Calibri" w:cs="Calibri"/>
                <w:b w:val="0"/>
                <w:bCs w:val="0"/>
                <w:sz w:val="19"/>
                <w:szCs w:val="19"/>
              </w:rPr>
              <w:t>Identificador único que une cada encuesta con el shapefile de la Entrega 3a y con el valor del suelo. Sin él no se puede relacionar la percepción con el territorio.</w:t>
            </w:r>
          </w:p>
        </w:tc>
      </w:tr>
      <w:tr w14:paraId="05F254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0D96B23B">
            <w:pPr>
              <w:spacing w:after="30" w:line="250" w:lineRule="auto"/>
            </w:pPr>
            <w:r>
              <w:rPr>
                <w:rFonts w:ascii="Calibri" w:hAnsi="Calibri" w:eastAsia="Calibri" w:cs="Calibri"/>
                <w:b w:val="0"/>
                <w:bCs w:val="0"/>
                <w:sz w:val="19"/>
                <w:szCs w:val="19"/>
              </w:rPr>
              <w:t>Fecha, hora, encuestador y grupo</w:t>
            </w:r>
          </w:p>
        </w:tc>
        <w:tc>
          <w:tcPr>
            <w:tcW w:w="5504"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6366E2FC">
            <w:pPr>
              <w:spacing w:after="30" w:line="250" w:lineRule="auto"/>
            </w:pPr>
            <w:r>
              <w:rPr>
                <w:rFonts w:ascii="Calibri" w:hAnsi="Calibri" w:eastAsia="Calibri" w:cs="Calibri"/>
                <w:b w:val="0"/>
                <w:bCs w:val="0"/>
                <w:sz w:val="19"/>
                <w:szCs w:val="19"/>
              </w:rPr>
              <w:t>Control de calidad del trabajo de campo y del cumplimiento del protocolo; permite revisar si hay diferencias por horario o por encuestador.</w:t>
            </w:r>
          </w:p>
        </w:tc>
      </w:tr>
      <w:tr w14:paraId="6462DA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66FEE343">
            <w:pPr>
              <w:spacing w:after="30" w:line="250" w:lineRule="auto"/>
            </w:pPr>
            <w:r>
              <w:rPr>
                <w:rFonts w:ascii="Calibri" w:hAnsi="Calibri" w:eastAsia="Calibri" w:cs="Calibri"/>
                <w:b w:val="0"/>
                <w:bCs w:val="0"/>
                <w:sz w:val="19"/>
                <w:szCs w:val="19"/>
              </w:rPr>
              <w:t>N.º de cafeterías de especialidad por barrio y densidad (por km²)</w:t>
            </w:r>
          </w:p>
        </w:tc>
        <w:tc>
          <w:tcPr>
            <w:tcW w:w="5504"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7CCE6418">
            <w:pPr>
              <w:spacing w:after="30" w:line="250" w:lineRule="auto"/>
            </w:pPr>
            <w:r>
              <w:rPr>
                <w:rFonts w:ascii="Calibri" w:hAnsi="Calibri" w:eastAsia="Calibri" w:cs="Calibri"/>
                <w:b w:val="0"/>
                <w:bCs w:val="0"/>
                <w:sz w:val="19"/>
                <w:szCs w:val="19"/>
              </w:rPr>
              <w:t>Medida de concentración: variable explicativa principal de la pregunta de investigación. Sale del inventario georreferenciado.</w:t>
            </w:r>
          </w:p>
        </w:tc>
      </w:tr>
      <w:tr w14:paraId="1FBD0B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0D33D0CF">
            <w:pPr>
              <w:spacing w:after="30" w:line="250" w:lineRule="auto"/>
            </w:pPr>
            <w:r>
              <w:rPr>
                <w:rFonts w:ascii="Calibri" w:hAnsi="Calibri" w:eastAsia="Calibri" w:cs="Calibri"/>
                <w:b w:val="0"/>
                <w:bCs w:val="0"/>
                <w:sz w:val="19"/>
                <w:szCs w:val="19"/>
              </w:rPr>
              <w:t>Valor del suelo por barrio (COP/m²), UAECD, 2016 y 2025</w:t>
            </w:r>
          </w:p>
        </w:tc>
        <w:tc>
          <w:tcPr>
            <w:tcW w:w="5504"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1A23F7FA">
            <w:pPr>
              <w:spacing w:after="30" w:line="250" w:lineRule="auto"/>
            </w:pPr>
            <w:r>
              <w:rPr>
                <w:rFonts w:ascii="Calibri" w:hAnsi="Calibri" w:eastAsia="Calibri" w:cs="Calibri"/>
                <w:b w:val="0"/>
                <w:bCs w:val="0"/>
                <w:sz w:val="19"/>
                <w:szCs w:val="19"/>
              </w:rPr>
              <w:t>Variable de resultado: nivel del valor del suelo (usado en logaritmo para reducir el sesgo de los valores altos). Se agrega desde manzana a barrio.</w:t>
            </w:r>
          </w:p>
        </w:tc>
      </w:tr>
      <w:tr w14:paraId="07748F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2933E86E">
            <w:pPr>
              <w:spacing w:after="30" w:line="250" w:lineRule="auto"/>
            </w:pPr>
            <w:r>
              <w:rPr>
                <w:rFonts w:ascii="Calibri" w:hAnsi="Calibri" w:eastAsia="Calibri" w:cs="Calibri"/>
                <w:b w:val="0"/>
                <w:bCs w:val="0"/>
                <w:sz w:val="19"/>
                <w:szCs w:val="19"/>
              </w:rPr>
              <w:t>Variación del valor del suelo 2016–2025 (%)</w:t>
            </w:r>
          </w:p>
        </w:tc>
        <w:tc>
          <w:tcPr>
            <w:tcW w:w="5504"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12A68995">
            <w:pPr>
              <w:spacing w:after="30" w:line="250" w:lineRule="auto"/>
            </w:pPr>
            <w:r>
              <w:rPr>
                <w:rFonts w:ascii="Calibri" w:hAnsi="Calibri" w:eastAsia="Calibri" w:cs="Calibri"/>
                <w:b w:val="0"/>
                <w:bCs w:val="0"/>
                <w:sz w:val="19"/>
                <w:szCs w:val="19"/>
              </w:rPr>
              <w:t>Aproxima la valorización (cambio en el tiempo), que es lo que pregunta la segunda parte de la pregunta de investigación.</w:t>
            </w:r>
          </w:p>
        </w:tc>
      </w:tr>
      <w:tr w14:paraId="538CF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0D0C8994">
            <w:pPr>
              <w:spacing w:after="30" w:line="250" w:lineRule="auto"/>
            </w:pPr>
            <w:r>
              <w:rPr>
                <w:rFonts w:ascii="Calibri" w:hAnsi="Calibri" w:eastAsia="Calibri" w:cs="Calibri"/>
                <w:b w:val="0"/>
                <w:bCs w:val="0"/>
                <w:sz w:val="19"/>
                <w:szCs w:val="19"/>
              </w:rPr>
              <w:t>Pertenencia a Coffee Master 2026 (sí/no)</w:t>
            </w:r>
          </w:p>
        </w:tc>
        <w:tc>
          <w:tcPr>
            <w:tcW w:w="5504"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2EAD4C89">
            <w:pPr>
              <w:spacing w:after="30" w:line="250" w:lineRule="auto"/>
            </w:pPr>
            <w:r>
              <w:rPr>
                <w:rFonts w:ascii="Calibri" w:hAnsi="Calibri" w:eastAsia="Calibri" w:cs="Calibri"/>
                <w:b w:val="0"/>
                <w:bCs w:val="0"/>
                <w:sz w:val="19"/>
                <w:szCs w:val="19"/>
              </w:rPr>
              <w:t>Distingue las cafeterías de especialidad con mayor reconocimiento, para ver si el patrón cambia con ese criterio.</w:t>
            </w:r>
          </w:p>
        </w:tc>
      </w:tr>
      <w:tr w14:paraId="58A3A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18E9DC1B">
            <w:pPr>
              <w:spacing w:after="30" w:line="250" w:lineRule="auto"/>
            </w:pPr>
            <w:r>
              <w:rPr>
                <w:rFonts w:ascii="Calibri" w:hAnsi="Calibri" w:eastAsia="Calibri" w:cs="Calibri"/>
                <w:b w:val="0"/>
                <w:bCs w:val="0"/>
                <w:sz w:val="19"/>
                <w:szCs w:val="19"/>
              </w:rPr>
              <w:t>Índice de percepción de cambio (construido, 0 a 5)</w:t>
            </w:r>
          </w:p>
        </w:tc>
        <w:tc>
          <w:tcPr>
            <w:tcW w:w="5504"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3A0A561C">
            <w:pPr>
              <w:spacing w:after="30" w:line="250" w:lineRule="auto"/>
            </w:pPr>
            <w:r>
              <w:rPr>
                <w:rFonts w:ascii="Calibri" w:hAnsi="Calibri" w:eastAsia="Calibri" w:cs="Calibri"/>
                <w:b w:val="0"/>
                <w:bCs w:val="0"/>
                <w:sz w:val="19"/>
                <w:szCs w:val="19"/>
              </w:rPr>
              <w:t>Suma un punto por cada señal de gentrificación percibida: P2 = cafés/restaurantes modernos; P5 = más caro (mucho o algo); P6 = arriendos más caros y salida de habitantes; P7 = los nuevos le quitan clientes o espacio a los tradicionales; P8 = mejora con encarecimiento o empeoramiento. Se calcula solo con quienes conocen el sector y se reportan también los componentes por separado.</w:t>
            </w:r>
          </w:p>
        </w:tc>
      </w:tr>
    </w:tbl>
    <w:p w14:paraId="158AC2F3">
      <w:pPr>
        <w:pStyle w:val="2"/>
        <w:spacing w:before="300" w:after="120"/>
      </w:pPr>
      <w:r>
        <w:rPr>
          <w:rFonts w:ascii="Calibri" w:hAnsi="Calibri" w:eastAsia="Calibri" w:cs="Calibri"/>
          <w:b/>
          <w:bCs/>
          <w:color w:val="7A4A1E"/>
          <w:sz w:val="28"/>
          <w:szCs w:val="28"/>
        </w:rPr>
        <w:t>5. ¿Qué análisis estadístico se va a realizar?</w:t>
      </w:r>
    </w:p>
    <w:p w14:paraId="59578258">
      <w:pPr>
        <w:spacing w:after="120" w:line="276" w:lineRule="auto"/>
      </w:pPr>
      <w:r>
        <w:rPr>
          <w:rFonts w:ascii="Calibri" w:hAnsi="Calibri" w:eastAsia="Calibri" w:cs="Calibri"/>
          <w:sz w:val="22"/>
          <w:szCs w:val="22"/>
        </w:rPr>
        <w:t>Se busca un análisis sencillo, que se pueda hacer en Excel (o en Python/R) con tablas, gráficas y una correlación. Los resultados se presentan como asociaciones y no como causalidad.</w:t>
      </w:r>
    </w:p>
    <w:p w14:paraId="22E116E6">
      <w:pPr>
        <w:pStyle w:val="3"/>
        <w:spacing w:before="200" w:after="100"/>
      </w:pPr>
      <w:r>
        <w:rPr>
          <w:rFonts w:ascii="Calibri" w:hAnsi="Calibri" w:eastAsia="Calibri" w:cs="Calibri"/>
          <w:b/>
          <w:bCs/>
          <w:color w:val="3B3B3B"/>
          <w:sz w:val="24"/>
          <w:szCs w:val="24"/>
        </w:rPr>
        <w:t>5.1 Descripción de las respuestas de la encuesta</w:t>
      </w:r>
    </w:p>
    <w:p w14:paraId="16846471">
      <w:pPr>
        <w:pStyle w:val="16"/>
        <w:numPr>
          <w:ilvl w:val="0"/>
          <w:numId w:val="1"/>
        </w:numPr>
        <w:spacing w:after="70" w:line="270" w:lineRule="auto"/>
      </w:pPr>
      <w:r>
        <w:rPr>
          <w:rFonts w:ascii="Calibri" w:hAnsi="Calibri" w:eastAsia="Calibri" w:cs="Calibri"/>
          <w:sz w:val="22"/>
          <w:szCs w:val="22"/>
        </w:rPr>
        <w:t>Tablas de frecuencias y porcentajes para cada una de las 8 preguntas, indicando cuántas personas respondieron y cuántas marcaron “no sé”. En P4 (máximo 2 opciones) se reporta el porcentaje de personas que escogió cada opción.</w:t>
      </w:r>
    </w:p>
    <w:p w14:paraId="38697FDA">
      <w:pPr>
        <w:pStyle w:val="16"/>
        <w:numPr>
          <w:ilvl w:val="0"/>
          <w:numId w:val="1"/>
        </w:numPr>
        <w:spacing w:after="70" w:line="270" w:lineRule="auto"/>
      </w:pPr>
      <w:r>
        <w:rPr>
          <w:rFonts w:ascii="Calibri" w:hAnsi="Calibri" w:eastAsia="Calibri" w:cs="Calibri"/>
          <w:b/>
          <w:bCs/>
          <w:sz w:val="22"/>
          <w:szCs w:val="22"/>
        </w:rPr>
        <w:t xml:space="preserve">Gráficas: </w:t>
      </w:r>
      <w:r>
        <w:rPr>
          <w:rFonts w:ascii="Calibri" w:hAnsi="Calibri" w:eastAsia="Calibri" w:cs="Calibri"/>
          <w:sz w:val="22"/>
          <w:szCs w:val="22"/>
        </w:rPr>
        <w:t>barras horizontales por pregunta, ordenadas de mayor a menor.</w:t>
      </w:r>
    </w:p>
    <w:p w14:paraId="65E34E9A">
      <w:pPr>
        <w:pStyle w:val="16"/>
        <w:numPr>
          <w:ilvl w:val="0"/>
          <w:numId w:val="1"/>
        </w:numPr>
        <w:spacing w:after="70" w:line="270" w:lineRule="auto"/>
      </w:pPr>
      <w:r>
        <w:rPr>
          <w:rFonts w:ascii="Calibri" w:hAnsi="Calibri" w:eastAsia="Calibri" w:cs="Calibri"/>
          <w:sz w:val="22"/>
          <w:szCs w:val="22"/>
        </w:rPr>
        <w:t>Como la muestra es pequeña (unas 60 personas) y no es aleatoria, los porcentajes se presentan como indicativos y no como cifras de toda la población.</w:t>
      </w:r>
    </w:p>
    <w:p w14:paraId="77F3F3E9">
      <w:pPr>
        <w:pStyle w:val="3"/>
        <w:spacing w:before="200" w:after="100"/>
      </w:pPr>
      <w:r>
        <w:rPr>
          <w:rFonts w:ascii="Calibri" w:hAnsi="Calibri" w:eastAsia="Calibri" w:cs="Calibri"/>
          <w:b/>
          <w:bCs/>
          <w:color w:val="3B3B3B"/>
          <w:sz w:val="24"/>
          <w:szCs w:val="24"/>
        </w:rPr>
        <w:t>5.2 Mapa de cafeterías y valor del suelo</w:t>
      </w:r>
    </w:p>
    <w:p w14:paraId="01315C33">
      <w:pPr>
        <w:pStyle w:val="16"/>
        <w:numPr>
          <w:ilvl w:val="0"/>
          <w:numId w:val="1"/>
        </w:numPr>
        <w:spacing w:after="70" w:line="270" w:lineRule="auto"/>
      </w:pPr>
      <w:r>
        <w:rPr>
          <w:rFonts w:ascii="Calibri" w:hAnsi="Calibri" w:eastAsia="Calibri" w:cs="Calibri"/>
          <w:b/>
          <w:bCs/>
          <w:sz w:val="22"/>
          <w:szCs w:val="22"/>
        </w:rPr>
        <w:t xml:space="preserve">Mapa </w:t>
      </w:r>
      <w:r>
        <w:rPr>
          <w:rFonts w:ascii="Calibri" w:hAnsi="Calibri" w:eastAsia="Calibri" w:cs="Calibri"/>
          <w:sz w:val="22"/>
          <w:szCs w:val="22"/>
        </w:rPr>
        <w:t>del valor del suelo por barrio con las cafeterías ubicadas encima (en QGIS, Google Maps o Python), para ver dónde se concentran (resultado “Mapa de distribución”). Se resaltan La Macarena, el centro histórico, Chapinero y Quinta Camacho.</w:t>
      </w:r>
    </w:p>
    <w:p w14:paraId="52F27ACF">
      <w:pPr>
        <w:pStyle w:val="16"/>
        <w:numPr>
          <w:ilvl w:val="0"/>
          <w:numId w:val="1"/>
        </w:numPr>
        <w:spacing w:after="70" w:line="270" w:lineRule="auto"/>
      </w:pPr>
      <w:r>
        <w:rPr>
          <w:rFonts w:ascii="Calibri" w:hAnsi="Calibri" w:eastAsia="Calibri" w:cs="Calibri"/>
          <w:b/>
          <w:bCs/>
          <w:sz w:val="22"/>
          <w:szCs w:val="22"/>
        </w:rPr>
        <w:t xml:space="preserve">Tabla comparativa: </w:t>
      </w:r>
      <w:r>
        <w:rPr>
          <w:rFonts w:ascii="Calibri" w:hAnsi="Calibri" w:eastAsia="Calibri" w:cs="Calibri"/>
          <w:sz w:val="22"/>
          <w:szCs w:val="22"/>
        </w:rPr>
        <w:t>valor promedio y mediano del suelo en barrios sin cafeterías, con 1 y con 2 o más. Se muestra en un gráfico de barras o de cajas.</w:t>
      </w:r>
    </w:p>
    <w:p w14:paraId="5FE5E2A4">
      <w:pPr>
        <w:pStyle w:val="3"/>
        <w:spacing w:before="200" w:after="100"/>
      </w:pPr>
      <w:r>
        <w:rPr>
          <w:rFonts w:ascii="Calibri" w:hAnsi="Calibri" w:eastAsia="Calibri" w:cs="Calibri"/>
          <w:b/>
          <w:bCs/>
          <w:color w:val="3B3B3B"/>
          <w:sz w:val="24"/>
          <w:szCs w:val="24"/>
        </w:rPr>
        <w:t>5.3 Relación entre cafeterías y valor del suelo (pregunta de investigación)</w:t>
      </w:r>
    </w:p>
    <w:p w14:paraId="480C8D0C">
      <w:pPr>
        <w:pStyle w:val="16"/>
        <w:numPr>
          <w:ilvl w:val="0"/>
          <w:numId w:val="1"/>
        </w:numPr>
        <w:spacing w:after="70" w:line="270" w:lineRule="auto"/>
      </w:pPr>
      <w:r>
        <w:rPr>
          <w:rFonts w:ascii="Calibri" w:hAnsi="Calibri" w:eastAsia="Calibri" w:cs="Calibri"/>
          <w:b/>
          <w:bCs/>
          <w:sz w:val="22"/>
          <w:szCs w:val="22"/>
        </w:rPr>
        <w:t xml:space="preserve">¿Existe relación? </w:t>
      </w:r>
      <w:r>
        <w:rPr>
          <w:rFonts w:ascii="Calibri" w:hAnsi="Calibri" w:eastAsia="Calibri" w:cs="Calibri"/>
          <w:sz w:val="22"/>
          <w:szCs w:val="22"/>
        </w:rPr>
        <w:t>Gráfico de dispersión con el número de cafeterías por barrio en un eje y el valor del suelo en el otro, con línea de tendencia. Se calcula el coeficiente de correlación (Spearman, o Pearson si se hace en Excel) para saber si la relación es positiva o negativa y qué tan fuerte es.</w:t>
      </w:r>
    </w:p>
    <w:p w14:paraId="34186703">
      <w:pPr>
        <w:pStyle w:val="16"/>
        <w:numPr>
          <w:ilvl w:val="0"/>
          <w:numId w:val="1"/>
        </w:numPr>
        <w:spacing w:after="70" w:line="270" w:lineRule="auto"/>
      </w:pPr>
      <w:r>
        <w:rPr>
          <w:rFonts w:ascii="Calibri" w:hAnsi="Calibri" w:eastAsia="Calibri" w:cs="Calibri"/>
          <w:b/>
          <w:bCs/>
          <w:sz w:val="22"/>
          <w:szCs w:val="22"/>
        </w:rPr>
        <w:t xml:space="preserve">¿Hasta qué medida? </w:t>
      </w:r>
      <w:r>
        <w:rPr>
          <w:rFonts w:ascii="Calibri" w:hAnsi="Calibri" w:eastAsia="Calibri" w:cs="Calibri"/>
          <w:sz w:val="22"/>
          <w:szCs w:val="22"/>
        </w:rPr>
        <w:t>Se repite el mismo gráfico y la misma correlación usando la variación porcentual del valor del suelo 2016–2025 (valorización). Se compara con la primera para ver si las cafeterías se asocian más con el nivel del suelo o con su aumento.</w:t>
      </w:r>
    </w:p>
    <w:p w14:paraId="219DA00D">
      <w:pPr>
        <w:pStyle w:val="3"/>
        <w:spacing w:before="200" w:after="100"/>
      </w:pPr>
      <w:r>
        <w:rPr>
          <w:rFonts w:ascii="Calibri" w:hAnsi="Calibri" w:eastAsia="Calibri" w:cs="Calibri"/>
          <w:b/>
          <w:bCs/>
          <w:color w:val="3B3B3B"/>
          <w:sz w:val="24"/>
          <w:szCs w:val="24"/>
        </w:rPr>
        <w:t>5.4 Cruce entre la encuesta y el territorio</w:t>
      </w:r>
    </w:p>
    <w:p w14:paraId="11700C2A">
      <w:pPr>
        <w:pStyle w:val="16"/>
        <w:numPr>
          <w:ilvl w:val="0"/>
          <w:numId w:val="1"/>
        </w:numPr>
        <w:spacing w:after="70" w:line="270" w:lineRule="auto"/>
      </w:pPr>
      <w:r>
        <w:rPr>
          <w:rFonts w:ascii="Calibri" w:hAnsi="Calibri" w:eastAsia="Calibri" w:cs="Calibri"/>
          <w:b/>
          <w:bCs/>
          <w:sz w:val="22"/>
          <w:szCs w:val="22"/>
        </w:rPr>
        <w:t xml:space="preserve">Percepción según el perfil: </w:t>
      </w:r>
      <w:r>
        <w:rPr>
          <w:rFonts w:ascii="Calibri" w:hAnsi="Calibri" w:eastAsia="Calibri" w:cs="Calibri"/>
          <w:sz w:val="22"/>
          <w:szCs w:val="22"/>
        </w:rPr>
        <w:t>tablas cruzadas con porcentajes de P1 (relación con el sector) frente a P2, P5, P6, P7 y P8, para ver si residentes, trabajadores y visitantes opinan distinto. Se muestran en barras apiladas al 100%.</w:t>
      </w:r>
    </w:p>
    <w:p w14:paraId="16E464B6">
      <w:pPr>
        <w:pStyle w:val="16"/>
        <w:numPr>
          <w:ilvl w:val="0"/>
          <w:numId w:val="1"/>
        </w:numPr>
        <w:spacing w:after="70" w:line="270" w:lineRule="auto"/>
      </w:pPr>
      <w:r>
        <w:rPr>
          <w:rFonts w:ascii="Calibri" w:hAnsi="Calibri" w:eastAsia="Calibri" w:cs="Calibri"/>
          <w:b/>
          <w:bCs/>
          <w:sz w:val="22"/>
          <w:szCs w:val="22"/>
        </w:rPr>
        <w:t xml:space="preserve">Percepción según el sector: </w:t>
      </w:r>
      <w:r>
        <w:rPr>
          <w:rFonts w:ascii="Calibri" w:hAnsi="Calibri" w:eastAsia="Calibri" w:cs="Calibri"/>
          <w:sz w:val="22"/>
          <w:szCs w:val="22"/>
        </w:rPr>
        <w:t>se calcula el promedio del índice de percepción por cafetería y se compara entre sectores con valor del suelo alto y bajo, con un gráfico de barras. Con solo 14 cafeterías es un análisis exploratorio.</w:t>
      </w:r>
    </w:p>
    <w:p w14:paraId="53754BE3">
      <w:pPr>
        <w:pStyle w:val="16"/>
        <w:numPr>
          <w:ilvl w:val="0"/>
          <w:numId w:val="1"/>
        </w:numPr>
        <w:spacing w:after="70" w:line="270" w:lineRule="auto"/>
      </w:pPr>
      <w:r>
        <w:rPr>
          <w:rFonts w:ascii="Calibri" w:hAnsi="Calibri" w:eastAsia="Calibri" w:cs="Calibri"/>
          <w:b/>
          <w:bCs/>
          <w:sz w:val="22"/>
          <w:szCs w:val="22"/>
        </w:rPr>
        <w:t xml:space="preserve">Demanda: </w:t>
      </w:r>
      <w:r>
        <w:rPr>
          <w:rFonts w:ascii="Calibri" w:hAnsi="Calibri" w:eastAsia="Calibri" w:cs="Calibri"/>
          <w:sz w:val="22"/>
          <w:szCs w:val="22"/>
        </w:rPr>
        <w:t>P3 y P4 por perfil (P1), para describir quién consume y por qué llega al sector.</w:t>
      </w:r>
    </w:p>
    <w:p w14:paraId="22E1B4E4">
      <w:pPr>
        <w:pStyle w:val="3"/>
        <w:spacing w:before="200" w:after="100"/>
      </w:pPr>
      <w:r>
        <w:rPr>
          <w:rFonts w:ascii="Calibri" w:hAnsi="Calibri" w:eastAsia="Calibri" w:cs="Calibri"/>
          <w:b/>
          <w:bCs/>
          <w:color w:val="3B3B3B"/>
          <w:sz w:val="24"/>
          <w:szCs w:val="24"/>
        </w:rPr>
        <w:t>5.5 Síntesis</w:t>
      </w:r>
    </w:p>
    <w:p w14:paraId="35382DB1">
      <w:pPr>
        <w:spacing w:after="120" w:line="276" w:lineRule="auto"/>
      </w:pPr>
      <w:r>
        <w:rPr>
          <w:rFonts w:ascii="Calibri" w:hAnsi="Calibri" w:eastAsia="Calibri" w:cs="Calibri"/>
          <w:sz w:val="22"/>
          <w:szCs w:val="22"/>
        </w:rPr>
        <w:t>Se arma una tabla final por sector con el número de cafeterías, el valor del suelo y su variación, y el índice de percepción. Si los tres apuntan en la misma dirección, hay evidencia de una asociación con procesos de valorización; si no, se reportan las diferencias.</w:t>
      </w:r>
    </w:p>
    <w:p w14:paraId="7640740E">
      <w:pPr>
        <w:spacing w:after="80"/>
      </w:pPr>
    </w:p>
    <w:tbl>
      <w:tblPr>
        <w:tblStyle w:val="9"/>
        <w:tblW w:w="850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3600"/>
        <w:gridCol w:w="2504"/>
      </w:tblGrid>
      <w:tr w14:paraId="200DCE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BFBFBF" w:sz="4" w:space="0"/>
              <w:left w:val="single" w:color="BFBFBF" w:sz="4" w:space="0"/>
              <w:bottom w:val="single" w:color="BFBFBF" w:sz="4" w:space="0"/>
              <w:right w:val="single" w:color="BFBFBF" w:sz="4" w:space="0"/>
            </w:tcBorders>
            <w:shd w:val="clear" w:color="auto" w:fill="EADBC8"/>
            <w:tcMar>
              <w:top w:w="60" w:type="dxa"/>
              <w:left w:w="90" w:type="dxa"/>
              <w:bottom w:w="60" w:type="dxa"/>
              <w:right w:w="90" w:type="dxa"/>
            </w:tcMar>
          </w:tcPr>
          <w:p w14:paraId="3BF16984">
            <w:pPr>
              <w:spacing w:after="30" w:line="250" w:lineRule="auto"/>
            </w:pPr>
            <w:r>
              <w:rPr>
                <w:rFonts w:ascii="Calibri" w:hAnsi="Calibri" w:eastAsia="Calibri" w:cs="Calibri"/>
                <w:b/>
                <w:bCs/>
                <w:sz w:val="19"/>
                <w:szCs w:val="19"/>
              </w:rPr>
              <w:t>Parte de la pregunta</w:t>
            </w:r>
          </w:p>
        </w:tc>
        <w:tc>
          <w:tcPr>
            <w:tcW w:w="3600" w:type="dxa"/>
            <w:tcBorders>
              <w:top w:val="single" w:color="BFBFBF" w:sz="4" w:space="0"/>
              <w:left w:val="single" w:color="BFBFBF" w:sz="4" w:space="0"/>
              <w:bottom w:val="single" w:color="BFBFBF" w:sz="4" w:space="0"/>
              <w:right w:val="single" w:color="BFBFBF" w:sz="4" w:space="0"/>
            </w:tcBorders>
            <w:shd w:val="clear" w:color="auto" w:fill="EADBC8"/>
            <w:tcMar>
              <w:top w:w="60" w:type="dxa"/>
              <w:left w:w="90" w:type="dxa"/>
              <w:bottom w:w="60" w:type="dxa"/>
              <w:right w:w="90" w:type="dxa"/>
            </w:tcMar>
          </w:tcPr>
          <w:p w14:paraId="4ADCE300">
            <w:pPr>
              <w:spacing w:after="30" w:line="250" w:lineRule="auto"/>
            </w:pPr>
            <w:r>
              <w:rPr>
                <w:rFonts w:ascii="Calibri" w:hAnsi="Calibri" w:eastAsia="Calibri" w:cs="Calibri"/>
                <w:b/>
                <w:bCs/>
                <w:sz w:val="19"/>
                <w:szCs w:val="19"/>
              </w:rPr>
              <w:t>Análisis</w:t>
            </w:r>
          </w:p>
        </w:tc>
        <w:tc>
          <w:tcPr>
            <w:tcW w:w="2504" w:type="dxa"/>
            <w:tcBorders>
              <w:top w:val="single" w:color="BFBFBF" w:sz="4" w:space="0"/>
              <w:left w:val="single" w:color="BFBFBF" w:sz="4" w:space="0"/>
              <w:bottom w:val="single" w:color="BFBFBF" w:sz="4" w:space="0"/>
              <w:right w:val="single" w:color="BFBFBF" w:sz="4" w:space="0"/>
            </w:tcBorders>
            <w:shd w:val="clear" w:color="auto" w:fill="EADBC8"/>
            <w:tcMar>
              <w:top w:w="60" w:type="dxa"/>
              <w:left w:w="90" w:type="dxa"/>
              <w:bottom w:w="60" w:type="dxa"/>
              <w:right w:w="90" w:type="dxa"/>
            </w:tcMar>
          </w:tcPr>
          <w:p w14:paraId="12EDBBF6">
            <w:pPr>
              <w:spacing w:after="30" w:line="250" w:lineRule="auto"/>
            </w:pPr>
            <w:r>
              <w:rPr>
                <w:rFonts w:ascii="Calibri" w:hAnsi="Calibri" w:eastAsia="Calibri" w:cs="Calibri"/>
                <w:b/>
                <w:bCs/>
                <w:sz w:val="19"/>
                <w:szCs w:val="19"/>
              </w:rPr>
              <w:t>Gráfica</w:t>
            </w:r>
          </w:p>
        </w:tc>
      </w:tr>
      <w:tr w14:paraId="630EB2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27CB0F5D">
            <w:pPr>
              <w:spacing w:after="30" w:line="250" w:lineRule="auto"/>
            </w:pPr>
            <w:r>
              <w:rPr>
                <w:rFonts w:ascii="Calibri" w:hAnsi="Calibri" w:eastAsia="Calibri" w:cs="Calibri"/>
                <w:b w:val="0"/>
                <w:bCs w:val="0"/>
                <w:sz w:val="19"/>
                <w:szCs w:val="19"/>
              </w:rPr>
              <w:t>¿Existe relación?</w:t>
            </w:r>
          </w:p>
        </w:tc>
        <w:tc>
          <w:tcPr>
            <w:tcW w:w="36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474E55DD">
            <w:pPr>
              <w:spacing w:after="30" w:line="250" w:lineRule="auto"/>
            </w:pPr>
            <w:r>
              <w:rPr>
                <w:rFonts w:ascii="Calibri" w:hAnsi="Calibri" w:eastAsia="Calibri" w:cs="Calibri"/>
                <w:b w:val="0"/>
                <w:bCs w:val="0"/>
                <w:sz w:val="19"/>
                <w:szCs w:val="19"/>
              </w:rPr>
              <w:t>Correlación cafeterías–valor del suelo; comparación de promedios entre grupos de barrios</w:t>
            </w:r>
          </w:p>
        </w:tc>
        <w:tc>
          <w:tcPr>
            <w:tcW w:w="2504"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068E769E">
            <w:pPr>
              <w:spacing w:after="30" w:line="250" w:lineRule="auto"/>
            </w:pPr>
            <w:r>
              <w:rPr>
                <w:rFonts w:ascii="Calibri" w:hAnsi="Calibri" w:eastAsia="Calibri" w:cs="Calibri"/>
                <w:b w:val="0"/>
                <w:bCs w:val="0"/>
                <w:sz w:val="19"/>
                <w:szCs w:val="19"/>
              </w:rPr>
              <w:t>Mapa, dispersión, barras o cajas</w:t>
            </w:r>
          </w:p>
        </w:tc>
      </w:tr>
      <w:tr w14:paraId="1527A0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0D37912A">
            <w:pPr>
              <w:spacing w:after="30" w:line="250" w:lineRule="auto"/>
            </w:pPr>
            <w:r>
              <w:rPr>
                <w:rFonts w:ascii="Calibri" w:hAnsi="Calibri" w:eastAsia="Calibri" w:cs="Calibri"/>
                <w:b w:val="0"/>
                <w:bCs w:val="0"/>
                <w:sz w:val="19"/>
                <w:szCs w:val="19"/>
              </w:rPr>
              <w:t>¿Hasta qué medida?</w:t>
            </w:r>
          </w:p>
        </w:tc>
        <w:tc>
          <w:tcPr>
            <w:tcW w:w="36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7362B6BD">
            <w:pPr>
              <w:spacing w:after="30" w:line="250" w:lineRule="auto"/>
            </w:pPr>
            <w:r>
              <w:rPr>
                <w:rFonts w:ascii="Calibri" w:hAnsi="Calibri" w:eastAsia="Calibri" w:cs="Calibri"/>
                <w:b w:val="0"/>
                <w:bCs w:val="0"/>
                <w:sz w:val="19"/>
                <w:szCs w:val="19"/>
              </w:rPr>
              <w:t>Correlación con la variación 2016–2025</w:t>
            </w:r>
          </w:p>
        </w:tc>
        <w:tc>
          <w:tcPr>
            <w:tcW w:w="2504"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5B397FDB">
            <w:pPr>
              <w:spacing w:after="30" w:line="250" w:lineRule="auto"/>
            </w:pPr>
            <w:r>
              <w:rPr>
                <w:rFonts w:ascii="Calibri" w:hAnsi="Calibri" w:eastAsia="Calibri" w:cs="Calibri"/>
                <w:b w:val="0"/>
                <w:bCs w:val="0"/>
                <w:sz w:val="19"/>
                <w:szCs w:val="19"/>
              </w:rPr>
              <w:t>Dispersión con línea de tendencia</w:t>
            </w:r>
          </w:p>
        </w:tc>
      </w:tr>
      <w:tr w14:paraId="6F2926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2FAE6C1A">
            <w:pPr>
              <w:spacing w:after="30" w:line="250" w:lineRule="auto"/>
            </w:pPr>
            <w:r>
              <w:rPr>
                <w:rFonts w:ascii="Calibri" w:hAnsi="Calibri" w:eastAsia="Calibri" w:cs="Calibri"/>
                <w:b w:val="0"/>
                <w:bCs w:val="0"/>
                <w:sz w:val="19"/>
                <w:szCs w:val="19"/>
              </w:rPr>
              <w:t>¿Se percibe el cambio?</w:t>
            </w:r>
          </w:p>
        </w:tc>
        <w:tc>
          <w:tcPr>
            <w:tcW w:w="36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3B563B25">
            <w:pPr>
              <w:spacing w:after="30" w:line="250" w:lineRule="auto"/>
            </w:pPr>
            <w:r>
              <w:rPr>
                <w:rFonts w:ascii="Calibri" w:hAnsi="Calibri" w:eastAsia="Calibri" w:cs="Calibri"/>
                <w:b w:val="0"/>
                <w:bCs w:val="0"/>
                <w:sz w:val="19"/>
                <w:szCs w:val="19"/>
              </w:rPr>
              <w:t>Frecuencias y porcentajes; tablas cruzadas por perfil (P1)</w:t>
            </w:r>
          </w:p>
        </w:tc>
        <w:tc>
          <w:tcPr>
            <w:tcW w:w="2504"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1463E472">
            <w:pPr>
              <w:spacing w:after="30" w:line="250" w:lineRule="auto"/>
            </w:pPr>
            <w:r>
              <w:rPr>
                <w:rFonts w:ascii="Calibri" w:hAnsi="Calibri" w:eastAsia="Calibri" w:cs="Calibri"/>
                <w:b w:val="0"/>
                <w:bCs w:val="0"/>
                <w:sz w:val="19"/>
                <w:szCs w:val="19"/>
              </w:rPr>
              <w:t>Barras y barras apiladas al 100%</w:t>
            </w:r>
          </w:p>
        </w:tc>
      </w:tr>
      <w:tr w14:paraId="2F38ED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7BBEAD32">
            <w:pPr>
              <w:spacing w:after="30" w:line="250" w:lineRule="auto"/>
            </w:pPr>
            <w:r>
              <w:rPr>
                <w:rFonts w:ascii="Calibri" w:hAnsi="Calibri" w:eastAsia="Calibri" w:cs="Calibri"/>
                <w:b w:val="0"/>
                <w:bCs w:val="0"/>
                <w:sz w:val="19"/>
                <w:szCs w:val="19"/>
              </w:rPr>
              <w:t>¿Coincide con el territorio?</w:t>
            </w:r>
          </w:p>
        </w:tc>
        <w:tc>
          <w:tcPr>
            <w:tcW w:w="36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11A38451">
            <w:pPr>
              <w:spacing w:after="30" w:line="250" w:lineRule="auto"/>
            </w:pPr>
            <w:r>
              <w:rPr>
                <w:rFonts w:ascii="Calibri" w:hAnsi="Calibri" w:eastAsia="Calibri" w:cs="Calibri"/>
                <w:b w:val="0"/>
                <w:bCs w:val="0"/>
                <w:sz w:val="19"/>
                <w:szCs w:val="19"/>
              </w:rPr>
              <w:t>Índice de percepción por cafetería frente al valor del suelo</w:t>
            </w:r>
          </w:p>
        </w:tc>
        <w:tc>
          <w:tcPr>
            <w:tcW w:w="2504"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2BD41D5D">
            <w:pPr>
              <w:spacing w:after="30" w:line="250" w:lineRule="auto"/>
            </w:pPr>
            <w:r>
              <w:rPr>
                <w:rFonts w:ascii="Calibri" w:hAnsi="Calibri" w:eastAsia="Calibri" w:cs="Calibri"/>
                <w:b w:val="0"/>
                <w:bCs w:val="0"/>
                <w:sz w:val="19"/>
                <w:szCs w:val="19"/>
              </w:rPr>
              <w:t>Barras por sector, tabla de síntesis</w:t>
            </w:r>
          </w:p>
        </w:tc>
      </w:tr>
    </w:tbl>
    <w:p w14:paraId="00BA8D03">
      <w:pPr>
        <w:pStyle w:val="3"/>
        <w:spacing w:before="200" w:after="100"/>
        <w:rPr>
          <w:color w:val="auto"/>
        </w:rPr>
      </w:pPr>
      <w:r>
        <w:rPr>
          <w:rFonts w:ascii="Calibri" w:hAnsi="Calibri" w:eastAsia="Calibri" w:cs="Calibri"/>
          <w:b/>
          <w:bCs/>
          <w:color w:val="auto"/>
          <w:sz w:val="22"/>
          <w:szCs w:val="22"/>
        </w:rPr>
        <w:t xml:space="preserve">Herramientas: </w:t>
      </w:r>
      <w:r>
        <w:rPr>
          <w:rFonts w:ascii="Calibri" w:hAnsi="Calibri" w:eastAsia="Calibri" w:cs="Calibri"/>
          <w:color w:val="auto"/>
          <w:sz w:val="22"/>
          <w:szCs w:val="22"/>
        </w:rPr>
        <w:t>el procesamiento y las gráficas se harán en Excel, Python o R, con los archivos y scripts guardados en el repositorio para que un tercero pueda replicar los resultados a partir de los datos crudos y limpios.</w:t>
      </w:r>
    </w:p>
    <w:sectPr>
      <w:pgSz w:w="11906" w:h="16838"/>
      <w:pgMar w:top="1417" w:right="1701" w:bottom="1417" w:left="1701"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w:panose1 w:val="020F0502020204030204"/>
    <w:charset w:val="86"/>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540" w:hanging="27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compatSetting w:name="compatibilityMode" w:uri="http://schemas.microsoft.com/office/word" w:val="15"/>
  </w:compat>
  <w:rsids>
    <w:rsidRoot w:val="00000000"/>
    <w:rsid w:val="4EB4405F"/>
    <w:rsid w:val="516D260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qFormat="1" w:unhideWhenUsed="0" w:uiPriority="0" w:semiHidden="0" w:name="List Paragraph"/>
  </w:latentStyles>
  <w:style w:type="paragraph" w:default="1" w:styleId="1">
    <w:name w:val="Normal"/>
    <w:qFormat/>
    <w:uiPriority w:val="0"/>
    <w:rPr>
      <w:rFonts w:ascii="Calibri" w:hAnsi="Calibri" w:eastAsia="Calibri" w:cs="Calibri"/>
      <w:sz w:val="22"/>
      <w:szCs w:val="22"/>
    </w:rPr>
  </w:style>
  <w:style w:type="paragraph" w:styleId="2">
    <w:name w:val="heading 1"/>
    <w:next w:val="1"/>
    <w:qFormat/>
    <w:uiPriority w:val="0"/>
    <w:rPr>
      <w:rFonts w:ascii="Calibri" w:hAnsi="Calibri" w:eastAsia="Calibri" w:cs="Calibri"/>
      <w:color w:val="2E74B5"/>
      <w:sz w:val="32"/>
      <w:szCs w:val="32"/>
    </w:rPr>
  </w:style>
  <w:style w:type="paragraph" w:styleId="3">
    <w:name w:val="heading 2"/>
    <w:next w:val="1"/>
    <w:qFormat/>
    <w:uiPriority w:val="0"/>
    <w:rPr>
      <w:rFonts w:ascii="Calibri" w:hAnsi="Calibri" w:eastAsia="Calibri" w:cs="Calibri"/>
      <w:color w:val="2E74B5"/>
      <w:sz w:val="26"/>
      <w:szCs w:val="26"/>
    </w:rPr>
  </w:style>
  <w:style w:type="paragraph" w:styleId="4">
    <w:name w:val="heading 3"/>
    <w:next w:val="1"/>
    <w:qFormat/>
    <w:uiPriority w:val="0"/>
    <w:rPr>
      <w:rFonts w:ascii="Calibri" w:hAnsi="Calibri" w:eastAsia="Calibri" w:cs="Calibri"/>
      <w:color w:val="1F4D78"/>
      <w:sz w:val="24"/>
      <w:szCs w:val="24"/>
    </w:rPr>
  </w:style>
  <w:style w:type="paragraph" w:styleId="5">
    <w:name w:val="heading 4"/>
    <w:next w:val="1"/>
    <w:qFormat/>
    <w:uiPriority w:val="0"/>
    <w:rPr>
      <w:rFonts w:ascii="Calibri" w:hAnsi="Calibri" w:eastAsia="Calibri" w:cs="Calibri"/>
      <w:i/>
      <w:iCs/>
      <w:color w:val="2E74B5"/>
      <w:sz w:val="22"/>
      <w:szCs w:val="22"/>
    </w:rPr>
  </w:style>
  <w:style w:type="paragraph" w:styleId="6">
    <w:name w:val="heading 5"/>
    <w:next w:val="1"/>
    <w:qFormat/>
    <w:uiPriority w:val="0"/>
    <w:rPr>
      <w:rFonts w:ascii="Calibri" w:hAnsi="Calibri" w:eastAsia="Calibri" w:cs="Calibri"/>
      <w:color w:val="2E74B5"/>
      <w:sz w:val="22"/>
      <w:szCs w:val="22"/>
    </w:rPr>
  </w:style>
  <w:style w:type="paragraph" w:styleId="7">
    <w:name w:val="heading 6"/>
    <w:next w:val="1"/>
    <w:qFormat/>
    <w:uiPriority w:val="0"/>
    <w:rPr>
      <w:rFonts w:ascii="Calibri" w:hAnsi="Calibri" w:eastAsia="Calibri" w:cs="Calibri"/>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character" w:styleId="11">
    <w:name w:val="footnote reference"/>
    <w:semiHidden/>
    <w:unhideWhenUsed/>
    <w:qFormat/>
    <w:uiPriority w:val="99"/>
    <w:rPr>
      <w:vertAlign w:val="superscript"/>
    </w:rPr>
  </w:style>
  <w:style w:type="character" w:styleId="12">
    <w:name w:val="Hyperlink"/>
    <w:unhideWhenUsed/>
    <w:qFormat/>
    <w:uiPriority w:val="99"/>
    <w:rPr>
      <w:color w:val="0563C1"/>
      <w:u w:val="single"/>
    </w:rPr>
  </w:style>
  <w:style w:type="paragraph" w:styleId="13">
    <w:name w:val="footnote text"/>
    <w:link w:val="17"/>
    <w:semiHidden/>
    <w:unhideWhenUsed/>
    <w:qFormat/>
    <w:uiPriority w:val="99"/>
    <w:pPr>
      <w:spacing w:after="0" w:line="240" w:lineRule="auto"/>
    </w:pPr>
    <w:rPr>
      <w:rFonts w:ascii="Calibri" w:hAnsi="Calibri" w:eastAsia="Calibri" w:cs="Calibri"/>
      <w:sz w:val="20"/>
      <w:szCs w:val="20"/>
    </w:rPr>
  </w:style>
  <w:style w:type="paragraph" w:styleId="14">
    <w:name w:val="endnote text"/>
    <w:link w:val="18"/>
    <w:semiHidden/>
    <w:unhideWhenUsed/>
    <w:qFormat/>
    <w:uiPriority w:val="99"/>
    <w:pPr>
      <w:spacing w:after="0" w:line="240" w:lineRule="auto"/>
    </w:pPr>
    <w:rPr>
      <w:rFonts w:ascii="Calibri" w:hAnsi="Calibri" w:eastAsia="Calibri" w:cs="Calibri"/>
      <w:sz w:val="20"/>
      <w:szCs w:val="20"/>
    </w:rPr>
  </w:style>
  <w:style w:type="paragraph" w:styleId="15">
    <w:name w:val="Title"/>
    <w:qFormat/>
    <w:uiPriority w:val="0"/>
    <w:rPr>
      <w:rFonts w:ascii="Calibri" w:hAnsi="Calibri" w:eastAsia="Calibri" w:cs="Calibri"/>
      <w:sz w:val="56"/>
      <w:szCs w:val="56"/>
    </w:rPr>
  </w:style>
  <w:style w:type="paragraph" w:styleId="16">
    <w:name w:val="List Paragraph"/>
    <w:qFormat/>
    <w:uiPriority w:val="0"/>
    <w:rPr>
      <w:rFonts w:ascii="Calibri" w:hAnsi="Calibri" w:eastAsia="Calibri" w:cs="Calibri"/>
      <w:sz w:val="22"/>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4"/>
    <w:semiHidden/>
    <w:unhideWhenUsed/>
    <w:qFormat/>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5</Pages>
  <Words>2074</Words>
  <Characters>10639</Characters>
  <TotalTime>27</TotalTime>
  <ScaleCrop>false</ScaleCrop>
  <LinksUpToDate>false</LinksUpToDate>
  <CharactersWithSpaces>12546</CharactersWithSpaces>
  <Application>WPS Office_12.1.0.29162_F1E327BC-269C-435d-A152-05C5408002CA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2026-10-29T01:28:00Z</dcterms:created>
  <dc:creator>Un-named</dc:creator>
  <cp:lastModifiedBy>mariana muñoz</cp:lastModifiedBy>
  <dcterms:modified xsi:type="dcterms:W3CDTF">2026-10-29T02:34:38Z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eyJoZGlkIjoiYzQxNzI1ZGZjY2VhODE5YWFmZjUyMWQ2NjRlMGZiMjMiLCJ1c2VySWQiOiIyMTk5MDI3OTUzNTQ2In0=</vt:lpwstr>
  </property>
  <property fmtid="{D5CDD505-2E9C-101B-9397-08002B2CF9AE}" pid="3" name="KSOProductBuildVer">
    <vt:lpwstr>2058-12.1.0.29162</vt:lpwstr>
  </property>
  <property fmtid="{D5CDD505-2E9C-101B-9397-08002B2CF9AE}" pid="4" name="ICV">
    <vt:lpwstr>0C3349E616734ED884B0A8AEB9FE98A5_13</vt:lpwstr>
  </property>
</Properties>
</file>