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Plano de testes — PetCare + PetQA</w:t>
      </w:r>
    </w:p>
    <w:p>
      <w:pPr>
        <w:pStyle w:val="Heading1"/>
      </w:pPr>
      <w:r>
        <w:t>1. Identificação</w:t>
      </w:r>
    </w:p>
    <w:p>
      <w:pPr>
        <w:pStyle w:val="ListParagraph"/>
      </w:pPr>
      <w:r>
        <w:t>? </w:t>
      </w:r>
      <w:r>
        <w:rPr>
          <w:b/>
        </w:rPr>
        <w:t>Produto:</w:t>
      </w:r>
      <w:r>
        <w:t xml:space="preserve"> PetCare + PetQA — Gestão Inteligente</w:t>
      </w:r>
    </w:p>
    <w:p>
      <w:pPr>
        <w:pStyle w:val="ListParagraph"/>
      </w:pPr>
      <w:r>
        <w:t>? </w:t>
      </w:r>
      <w:r>
        <w:rPr>
          <w:b/>
        </w:rPr>
        <w:t>Unidade sob teste:</w:t>
      </w:r>
      <w:r>
        <w:t xml:space="preserve"> </w:t>
      </w:r>
      <w:r>
        <w:rPr>
          <w:rFonts w:ascii="Consolas" w:hAnsi="Consolas"/>
        </w:rPr>
        <w:t>PetCare_PetQA_Gestao_Inteligente.html</w:t>
      </w:r>
    </w:p>
    <w:p>
      <w:pPr>
        <w:pStyle w:val="ListParagraph"/>
      </w:pPr>
      <w:r>
        <w:t>? </w:t>
      </w:r>
      <w:r>
        <w:rPr>
          <w:b/>
        </w:rPr>
        <w:t>Tipo:</w:t>
      </w:r>
      <w:r>
        <w:t xml:space="preserve"> testes manuais funcionais, exploratórios, de interface e de regressão</w:t>
      </w:r>
    </w:p>
    <w:p>
      <w:pPr>
        <w:pStyle w:val="ListParagraph"/>
      </w:pPr>
      <w:r>
        <w:t>? </w:t>
      </w:r>
      <w:r>
        <w:rPr>
          <w:b/>
        </w:rPr>
        <w:t>Abordagem:</w:t>
      </w:r>
      <w:r>
        <w:t xml:space="preserve"> baseada em riscos; validar fluxos completos e observar dados relacionados</w:t>
      </w:r>
    </w:p>
    <w:p>
      <w:pPr>
        <w:pStyle w:val="ListParagraph"/>
      </w:pPr>
      <w:r>
        <w:t>? </w:t>
      </w:r>
      <w:r>
        <w:rPr>
          <w:b/>
        </w:rPr>
        <w:t>Automação:</w:t>
      </w:r>
      <w:r>
        <w:t xml:space="preserve"> não faz parte deste plano</w:t>
      </w:r>
    </w:p>
    <w:p>
      <w:pPr>
        <w:pStyle w:val="Heading1"/>
      </w:pPr>
      <w:r>
        <w:t>2. Objetivos</w:t>
      </w:r>
    </w:p>
    <w:p>
      <w:pPr>
        <w:pStyle w:val="ListParagraph"/>
      </w:pPr>
      <w:r>
        <w:t>? </w:t>
      </w:r>
      <w:r>
        <w:t>Confirmar criação, edição, pesquisa e exclusão segura dos cadastros.</w:t>
      </w:r>
    </w:p>
    <w:p>
      <w:pPr>
        <w:pStyle w:val="ListParagraph"/>
      </w:pPr>
      <w:r>
        <w:t>? </w:t>
      </w:r>
      <w:r>
        <w:t>Verificar relacionamentos entre tutores, animais, clínicas, lembretes e agendamentos.</w:t>
      </w:r>
    </w:p>
    <w:p>
      <w:pPr>
        <w:pStyle w:val="ListParagraph"/>
      </w:pPr>
      <w:r>
        <w:t>? </w:t>
      </w:r>
      <w:r>
        <w:t>Validar transições do atendimento e bloqueios de conclusão antecipada.</w:t>
      </w:r>
    </w:p>
    <w:p>
      <w:pPr>
        <w:pStyle w:val="ListParagraph"/>
      </w:pPr>
      <w:r>
        <w:t>? </w:t>
      </w:r>
      <w:r>
        <w:t>Conferir recebimentos líquidos de estornos, serviços concluídos e saldos sem misturar conceitos.</w:t>
      </w:r>
    </w:p>
    <w:p>
      <w:pPr>
        <w:pStyle w:val="ListParagraph"/>
      </w:pPr>
      <w:r>
        <w:t>? </w:t>
      </w:r>
      <w:r>
        <w:t>Avaliar relatórios, impressão, geração de PDF e backup/restauração.</w:t>
      </w:r>
    </w:p>
    <w:p>
      <w:pPr>
        <w:pStyle w:val="ListParagraph"/>
      </w:pPr>
      <w:r>
        <w:t>? </w:t>
      </w:r>
      <w:r>
        <w:t>Verificar navegação, tutorial, semântica acessível e comportamento responsivo.</w:t>
      </w:r>
    </w:p>
    <w:p>
      <w:pPr>
        <w:pStyle w:val="Heading1"/>
      </w:pPr>
      <w:r>
        <w:t>3. Escopo</w:t>
      </w:r>
    </w:p>
    <w:p>
      <w:pPr>
        <w:pStyle w:val="Heading2"/>
      </w:pPr>
      <w:r>
        <w:t>Incluído</w:t>
      </w:r>
    </w:p>
    <w:p>
      <w:pPr>
        <w:pStyle w:val="ListParagraph"/>
      </w:pPr>
      <w:r>
        <w:t>? </w:t>
      </w:r>
      <w:r>
        <w:t>Visão geral e navegação do Menu principal.</w:t>
      </w:r>
    </w:p>
    <w:p>
      <w:pPr>
        <w:pStyle w:val="ListParagraph"/>
      </w:pPr>
      <w:r>
        <w:t>? </w:t>
      </w:r>
      <w:r>
        <w:t>Tutores, animais, clínicas e lembretes.</w:t>
      </w:r>
    </w:p>
    <w:p>
      <w:pPr>
        <w:pStyle w:val="ListParagraph"/>
      </w:pPr>
      <w:r>
        <w:t>? </w:t>
      </w:r>
      <w:r>
        <w:t>Agendamentos, histórico/financeiro e recebimentos parciais.</w:t>
      </w:r>
    </w:p>
    <w:p>
      <w:pPr>
        <w:pStyle w:val="ListParagraph"/>
      </w:pPr>
      <w:r>
        <w:t>? </w:t>
      </w:r>
      <w:r>
        <w:t>Relatórios por tutor, animal, clínica, agendamento, lembrete e financeiro, além de Total.</w:t>
      </w:r>
    </w:p>
    <w:p>
      <w:pPr>
        <w:pStyle w:val="ListParagraph"/>
      </w:pPr>
      <w:r>
        <w:t>? </w:t>
      </w:r>
      <w:r>
        <w:t>Download PDF, diálogo nativo de impressão, exportação e restauração JSON.</w:t>
      </w:r>
    </w:p>
    <w:p>
      <w:pPr>
        <w:pStyle w:val="ListParagraph"/>
      </w:pPr>
      <w:r>
        <w:t>? </w:t>
      </w:r>
      <w:r>
        <w:t xml:space="preserve">Modais, campos identificáveis por </w:t>
      </w:r>
      <w:r>
        <w:rPr>
          <w:rFonts w:ascii="Consolas" w:hAnsi="Consolas"/>
        </w:rPr>
        <w:t>id</w:t>
      </w:r>
      <w:r>
        <w:t>/</w:t>
      </w:r>
      <w:r>
        <w:rPr>
          <w:rFonts w:ascii="Consolas" w:hAnsi="Consolas"/>
        </w:rPr>
        <w:t>name</w:t>
      </w:r>
      <w:r>
        <w:t>, teclado e viewport estreito.</w:t>
      </w:r>
    </w:p>
    <w:p>
      <w:pPr>
        <w:pStyle w:val="Heading2"/>
      </w:pPr>
      <w:r>
        <w:t>Fora do escopo</w:t>
      </w:r>
    </w:p>
    <w:p>
      <w:pPr>
        <w:pStyle w:val="ListParagraph"/>
      </w:pPr>
      <w:r>
        <w:t>? </w:t>
      </w:r>
      <w:r>
        <w:t>Serviços remotos, backend, autenticação e concorrência entre usuários.</w:t>
      </w:r>
    </w:p>
    <w:p>
      <w:pPr>
        <w:pStyle w:val="ListParagraph"/>
      </w:pPr>
      <w:r>
        <w:t>? </w:t>
      </w:r>
      <w:r>
        <w:t>Sincronização entre dispositivos ou navegadores.</w:t>
      </w:r>
    </w:p>
    <w:p>
      <w:pPr>
        <w:pStyle w:val="ListParagraph"/>
      </w:pPr>
      <w:r>
        <w:t>? </w:t>
      </w:r>
      <w:r>
        <w:t>Envio automático de WhatsApp/e-mail.</w:t>
      </w:r>
    </w:p>
    <w:p>
      <w:pPr>
        <w:pStyle w:val="ListParagraph"/>
      </w:pPr>
      <w:r>
        <w:t>? </w:t>
      </w:r>
      <w:r>
        <w:t>Transações processadas por gateway de pagamento.</w:t>
      </w:r>
    </w:p>
    <w:p>
      <w:pPr>
        <w:pStyle w:val="ListParagraph"/>
      </w:pPr>
      <w:r>
        <w:t>? </w:t>
      </w:r>
      <w:r>
        <w:t>Compatibilidade certificada com todos os navegadores e leitores de tela.</w:t>
      </w:r>
    </w:p>
    <w:p>
      <w:pPr>
        <w:pStyle w:val="Heading1"/>
      </w:pPr>
      <w:r>
        <w:t>4. Ambiente e preparação</w:t>
      </w:r>
    </w:p>
    <w:p>
      <w:pPr>
        <w:pStyle w:val="ListParagraph"/>
      </w:pPr>
      <w:r>
        <w:t>? </w:t>
      </w:r>
      <w:r>
        <w:t>Abrir a cópia local do HTML em um navegador atualizado.</w:t>
      </w:r>
    </w:p>
    <w:p>
      <w:pPr>
        <w:pStyle w:val="ListParagraph"/>
      </w:pPr>
      <w:r>
        <w:t>? </w:t>
      </w:r>
      <w:r>
        <w:t>Usar perfil de navegador e dados de teste, sem informações pessoais reais.</w:t>
      </w:r>
    </w:p>
    <w:p>
      <w:pPr>
        <w:pStyle w:val="ListParagraph"/>
      </w:pPr>
      <w:r>
        <w:t>? </w:t>
      </w:r>
      <w:r>
        <w:t>Cadastrar tutor, animal e clínica fictícios antes de testar lembretes/agendamentos.</w:t>
      </w:r>
    </w:p>
    <w:p>
      <w:pPr>
        <w:pStyle w:val="ListParagraph"/>
      </w:pPr>
      <w:r>
        <w:t>? </w:t>
      </w:r>
      <w:r>
        <w:t>Para testes financeiros, usar valores pequenos e registrar cada pagamento de forma controlada.</w:t>
      </w:r>
    </w:p>
    <w:p>
      <w:pPr>
        <w:pStyle w:val="ListParagraph"/>
      </w:pPr>
      <w:r>
        <w:t>? </w:t>
      </w:r>
      <w:r>
        <w:t>Antes de restaurar dados, exportar um backup e confirmar que o arquivo usado é descartável.</w:t>
      </w:r>
    </w:p>
    <w:p>
      <w:pPr>
        <w:pStyle w:val="ListParagraph"/>
      </w:pPr>
      <w:r>
        <w:t>? </w:t>
      </w:r>
      <w:r>
        <w:t>Registrar navegador, versão, sistema operacional e viewport.</w:t>
      </w:r>
    </w:p>
    <w:p>
      <w:pPr>
        <w:pStyle w:val="Heading1"/>
      </w:pPr>
      <w:r>
        <w:t>5. Critérios de entrada</w:t>
      </w:r>
    </w:p>
    <w:p>
      <w:pPr>
        <w:pStyle w:val="ListParagraph"/>
      </w:pPr>
      <w:r>
        <w:t>? </w:t>
      </w:r>
      <w:r>
        <w:t>Arquivo HTML disponível e carregado sem erro visível.</w:t>
      </w:r>
    </w:p>
    <w:p>
      <w:pPr>
        <w:pStyle w:val="ListParagraph"/>
      </w:pPr>
      <w:r>
        <w:t>? </w:t>
      </w:r>
      <w:r>
        <w:t>Base de teste identificada e sem dados que precisem ser preservados.</w:t>
      </w:r>
    </w:p>
    <w:p>
      <w:pPr>
        <w:pStyle w:val="ListParagraph"/>
      </w:pPr>
      <w:r>
        <w:t>? </w:t>
      </w:r>
      <w:r>
        <w:t>Dados pré-requisitos criados para os cenários que dependem de vínculos.</w:t>
      </w:r>
    </w:p>
    <w:p>
      <w:pPr>
        <w:pStyle w:val="Heading1"/>
      </w:pPr>
      <w:r>
        <w:t>6. Critérios de saída</w:t>
      </w:r>
    </w:p>
    <w:p>
      <w:pPr>
        <w:pStyle w:val="ListParagraph"/>
      </w:pPr>
      <w:r>
        <w:t>? </w:t>
      </w:r>
      <w:r>
        <w:t>Todos os cenários selecionados têm status e observações preenchidos.</w:t>
      </w:r>
    </w:p>
    <w:p>
      <w:pPr>
        <w:pStyle w:val="ListParagraph"/>
      </w:pPr>
      <w:r>
        <w:t>? </w:t>
      </w:r>
      <w:r>
        <w:t>Achados de alto impacto têm passos de reprodução e evidência segura.</w:t>
      </w:r>
    </w:p>
    <w:p>
      <w:pPr>
        <w:pStyle w:val="ListParagraph"/>
      </w:pPr>
      <w:r>
        <w:t>? </w:t>
      </w:r>
      <w:r>
        <w:t>Nenhuma falha de regressão crítica permanece sem registro.</w:t>
      </w:r>
    </w:p>
    <w:p>
      <w:pPr>
        <w:pStyle w:val="ListParagraph"/>
      </w:pPr>
      <w:r>
        <w:t>? </w:t>
      </w:r>
      <w:r>
        <w:t xml:space="preserve">Cenários não executados continuam marcados como </w:t>
      </w:r>
      <w:r>
        <w:rPr>
          <w:b/>
        </w:rPr>
        <w:t>A executar</w:t>
      </w:r>
      <w:r>
        <w:t xml:space="preserve"> ou </w:t>
      </w:r>
      <w:r>
        <w:rPr>
          <w:b/>
        </w:rPr>
        <w:t>Bloqueado</w:t>
      </w:r>
      <w:r>
        <w:t>; não são contabilizados como aprovados.</w:t>
      </w:r>
    </w:p>
    <w:p>
      <w:pPr>
        <w:pStyle w:val="Heading1"/>
      </w:pPr>
      <w:r>
        <w:t>7. Priorização por risco</w:t>
      </w:r>
    </w:p>
    <w:tbl>
      <w:tblPr>
        <w:tblW w:w="9360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9AA7B0"/>
          <w:insideV w:val="single" w:sz="4" w:space="0" w:color="9AA7B0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DCECF2" w:val="clear"/>
          </w:tcPr>
          <w:p>
            <w:r>
              <w:t>Prioridade</w:t>
            </w:r>
          </w:p>
        </w:tc>
        <w:tc>
          <w:tcPr>
            <w:tcW w:w="3120" w:type="dxa"/>
            <w:shd w:fill="DCECF2" w:val="clear"/>
          </w:tcPr>
          <w:p>
            <w:r>
              <w:t>Risco</w:t>
            </w:r>
          </w:p>
        </w:tc>
        <w:tc>
          <w:tcPr>
            <w:tcW w:w="3120" w:type="dxa"/>
            <w:shd w:fill="DCECF2" w:val="clear"/>
          </w:tcPr>
          <w:p>
            <w:r>
              <w:t>Exemplos</w:t>
            </w:r>
          </w:p>
        </w:tc>
      </w:tr>
      <w:tr>
        <w:tc>
          <w:tcPr>
            <w:tcW w:w="3120" w:type="dxa"/>
          </w:tcPr>
          <w:p>
            <w:r>
              <w:t>Alta</w:t>
            </w:r>
          </w:p>
        </w:tc>
        <w:tc>
          <w:tcPr>
            <w:tcW w:w="3120" w:type="dxa"/>
          </w:tcPr>
          <w:p>
            <w:r>
              <w:t>Integridade de histórico ou dinheiro</w:t>
            </w:r>
          </w:p>
        </w:tc>
        <w:tc>
          <w:tcPr>
            <w:tcW w:w="3120" w:type="dxa"/>
          </w:tcPr>
          <w:p>
            <w:r>
              <w:t>conclusão antes do horário, saldo incorreto, anulação sem motivo ou sem estorno integral</w:t>
            </w:r>
          </w:p>
        </w:tc>
      </w:tr>
      <w:tr>
        <w:tc>
          <w:tcPr>
            <w:tcW w:w="3120" w:type="dxa"/>
          </w:tcPr>
          <w:p>
            <w:r>
              <w:t>Alta</w:t>
            </w:r>
          </w:p>
        </w:tc>
        <w:tc>
          <w:tcPr>
            <w:tcW w:w="3120" w:type="dxa"/>
          </w:tcPr>
          <w:p>
            <w:r>
              <w:t>Perda ou substituição de dados</w:t>
            </w:r>
          </w:p>
        </w:tc>
        <w:tc>
          <w:tcPr>
            <w:tcW w:w="3120" w:type="dxa"/>
          </w:tcPr>
          <w:p>
            <w:r>
              <w:t>restauração de backup, armazenamento local, exclusão de registros</w:t>
            </w:r>
          </w:p>
        </w:tc>
      </w:tr>
      <w:tr>
        <w:tc>
          <w:tcPr>
            <w:tcW w:w="3120" w:type="dxa"/>
          </w:tcPr>
          <w:p>
            <w:r>
              <w:t>Média</w:t>
            </w:r>
          </w:p>
        </w:tc>
        <w:tc>
          <w:tcPr>
            <w:tcW w:w="3120" w:type="dxa"/>
          </w:tcPr>
          <w:p>
            <w:r>
              <w:t>Relacionamentos incorretos</w:t>
            </w:r>
          </w:p>
        </w:tc>
        <w:tc>
          <w:tcPr>
            <w:tcW w:w="3120" w:type="dxa"/>
          </w:tcPr>
          <w:p>
            <w:r>
              <w:t>animal/tutor, lembrete/animal, atendimento/clínica</w:t>
            </w:r>
          </w:p>
        </w:tc>
      </w:tr>
      <w:tr>
        <w:tc>
          <w:tcPr>
            <w:tcW w:w="3120" w:type="dxa"/>
          </w:tcPr>
          <w:p>
            <w:r>
              <w:t>Média</w:t>
            </w:r>
          </w:p>
        </w:tc>
        <w:tc>
          <w:tcPr>
            <w:tcW w:w="3120" w:type="dxa"/>
          </w:tcPr>
          <w:p>
            <w:r>
              <w:t>Relatórios divergentes</w:t>
            </w:r>
          </w:p>
        </w:tc>
        <w:tc>
          <w:tcPr>
            <w:tcW w:w="3120" w:type="dxa"/>
          </w:tcPr>
          <w:p>
            <w:r>
              <w:t>totais, filtros, categorias e PDF diferentes dos dados atuais</w:t>
            </w:r>
          </w:p>
        </w:tc>
      </w:tr>
      <w:tr>
        <w:tc>
          <w:tcPr>
            <w:tcW w:w="3120" w:type="dxa"/>
          </w:tcPr>
          <w:p>
            <w:r>
              <w:t>Média</w:t>
            </w:r>
          </w:p>
        </w:tc>
        <w:tc>
          <w:tcPr>
            <w:tcW w:w="3120" w:type="dxa"/>
          </w:tcPr>
          <w:p>
            <w:r>
              <w:t>Barreiras de uso</w:t>
            </w:r>
          </w:p>
        </w:tc>
        <w:tc>
          <w:tcPr>
            <w:tcW w:w="3120" w:type="dxa"/>
          </w:tcPr>
          <w:p>
            <w:r>
              <w:t>foco em diálogos, identificação de campos, navegação por teclado</w:t>
            </w:r>
          </w:p>
        </w:tc>
      </w:tr>
      <w:tr>
        <w:tc>
          <w:tcPr>
            <w:tcW w:w="3120" w:type="dxa"/>
          </w:tcPr>
          <w:p>
            <w:r>
              <w:t>Baixa</w:t>
            </w:r>
          </w:p>
        </w:tc>
        <w:tc>
          <w:tcPr>
            <w:tcW w:w="3120" w:type="dxa"/>
          </w:tcPr>
          <w:p>
            <w:r>
              <w:t>Apresentação e conteúdo</w:t>
            </w:r>
          </w:p>
        </w:tc>
        <w:tc>
          <w:tcPr>
            <w:tcW w:w="3120" w:type="dxa"/>
          </w:tcPr>
          <w:p>
            <w:r>
              <w:t>rótulos, alinhamento, mensagens e comportamento em telas menores</w:t>
            </w:r>
          </w:p>
        </w:tc>
      </w:tr>
    </w:tbl>
    <w:p>
      <w:pPr>
        <w:pStyle w:val="Heading1"/>
      </w:pPr>
      <w:r>
        <w:t>8. Cenários principais</w:t>
      </w:r>
    </w:p>
    <w:tbl>
      <w:tblPr>
        <w:tblW w:w="9360" w:type="dxa"/>
        <w:tblBorders>
          <w:top w:val="single" w:sz="4" w:space="0" w:color="9AA7B0"/>
          <w:left w:val="single" w:sz="4" w:space="0" w:color="9AA7B0"/>
          <w:bottom w:val="single" w:sz="4" w:space="0" w:color="9AA7B0"/>
          <w:right w:val="single" w:sz="4" w:space="0" w:color="9AA7B0"/>
          <w:insideH w:val="single" w:sz="4" w:space="0" w:color="9AA7B0"/>
          <w:insideV w:val="single" w:sz="4" w:space="0" w:color="9AA7B0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DCECF2" w:val="clear"/>
          </w:tcPr>
          <w:p>
            <w:r>
              <w:t>ID</w:t>
            </w:r>
          </w:p>
        </w:tc>
        <w:tc>
          <w:tcPr>
            <w:tcW w:w="3120" w:type="dxa"/>
            <w:shd w:fill="DCECF2" w:val="clear"/>
          </w:tcPr>
          <w:p>
            <w:r>
              <w:t>Cenário</w:t>
            </w:r>
          </w:p>
        </w:tc>
        <w:tc>
          <w:tcPr>
            <w:tcW w:w="3120" w:type="dxa"/>
            <w:shd w:fill="DCECF2" w:val="clear"/>
          </w:tcPr>
          <w:p>
            <w:r>
              <w:t>Resultado esperado</w:t>
            </w:r>
          </w:p>
        </w:tc>
      </w:tr>
      <w:tr>
        <w:tc>
          <w:tcPr>
            <w:tcW w:w="3120" w:type="dxa"/>
          </w:tcPr>
          <w:p>
            <w:r>
              <w:t>PLAN-01</w:t>
            </w:r>
          </w:p>
        </w:tc>
        <w:tc>
          <w:tcPr>
            <w:tcW w:w="3120" w:type="dxa"/>
          </w:tcPr>
          <w:p>
            <w:r>
              <w:t>Navegar por cada opção do Menu principal, incluindo Backup e Tutorial.</w:t>
            </w:r>
          </w:p>
        </w:tc>
        <w:tc>
          <w:tcPr>
            <w:tcW w:w="3120" w:type="dxa"/>
          </w:tcPr>
          <w:p>
            <w:r>
              <w:t>Cada opção abre a tela correspondente; Backup oferece exportar/restaurar; o Tutorial explica os fluxos reais.</w:t>
            </w:r>
          </w:p>
        </w:tc>
      </w:tr>
      <w:tr>
        <w:tc>
          <w:tcPr>
            <w:tcW w:w="3120" w:type="dxa"/>
          </w:tcPr>
          <w:p>
            <w:r>
              <w:t>PLAN-02</w:t>
            </w:r>
          </w:p>
        </w:tc>
        <w:tc>
          <w:tcPr>
            <w:tcW w:w="3120" w:type="dxa"/>
          </w:tcPr>
          <w:p>
            <w:r>
              <w:t>Cadastrar tutor, animal e clínica, depois editar e pesquisar os registros.</w:t>
            </w:r>
          </w:p>
        </w:tc>
        <w:tc>
          <w:tcPr>
            <w:tcW w:w="3120" w:type="dxa"/>
          </w:tcPr>
          <w:p>
            <w:r>
              <w:t>Dados e vínculos permanecem corretos; buscas retornam resultados compatíveis.</w:t>
            </w:r>
          </w:p>
        </w:tc>
      </w:tr>
      <w:tr>
        <w:tc>
          <w:tcPr>
            <w:tcW w:w="3120" w:type="dxa"/>
          </w:tcPr>
          <w:p>
            <w:r>
              <w:t>PLAN-03</w:t>
            </w:r>
          </w:p>
        </w:tc>
        <w:tc>
          <w:tcPr>
            <w:tcW w:w="3120" w:type="dxa"/>
          </w:tcPr>
          <w:p>
            <w:r>
              <w:t>Tentar excluir registros com dependências.</w:t>
            </w:r>
          </w:p>
        </w:tc>
        <w:tc>
          <w:tcPr>
            <w:tcW w:w="3120" w:type="dxa"/>
          </w:tcPr>
          <w:p>
            <w:r>
              <w:t>Exclusão protegida com mensagem; registros relacionados permanecem íntegros.</w:t>
            </w:r>
          </w:p>
        </w:tc>
      </w:tr>
      <w:tr>
        <w:tc>
          <w:tcPr>
            <w:tcW w:w="3120" w:type="dxa"/>
          </w:tcPr>
          <w:p>
            <w:r>
              <w:t>PLAN-04</w:t>
            </w:r>
          </w:p>
        </w:tc>
        <w:tc>
          <w:tcPr>
            <w:tcW w:w="3120" w:type="dxa"/>
          </w:tcPr>
          <w:p>
            <w:r>
              <w:t>Criar lembrete e testar conclusão, busca e links de compartilhamento.</w:t>
            </w:r>
          </w:p>
        </w:tc>
        <w:tc>
          <w:tcPr>
            <w:tcW w:w="3120" w:type="dxa"/>
          </w:tcPr>
          <w:p>
            <w:r>
              <w:t>Lembrete mantém animal/data/estado corretos; links não enviam mensagens sem ação do usuário.</w:t>
            </w:r>
          </w:p>
        </w:tc>
      </w:tr>
      <w:tr>
        <w:tc>
          <w:tcPr>
            <w:tcW w:w="3120" w:type="dxa"/>
          </w:tcPr>
          <w:p>
            <w:r>
              <w:t>PLAN-05</w:t>
            </w:r>
          </w:p>
        </w:tc>
        <w:tc>
          <w:tcPr>
            <w:tcW w:w="3120" w:type="dxa"/>
          </w:tcPr>
          <w:p>
            <w:r>
              <w:t>Criar agendamento futuro, iniciar e tentar concluir antes do horário.</w:t>
            </w:r>
          </w:p>
        </w:tc>
        <w:tc>
          <w:tcPr>
            <w:tcW w:w="3120" w:type="dxa"/>
          </w:tcPr>
          <w:p>
            <w:r>
              <w:t>Conclusão antecipada é bloqueada, sem criar histórico ou valor financeiro.</w:t>
            </w:r>
          </w:p>
        </w:tc>
      </w:tr>
      <w:tr>
        <w:tc>
          <w:tcPr>
            <w:tcW w:w="3120" w:type="dxa"/>
          </w:tcPr>
          <w:p>
            <w:r>
              <w:t>PLAN-06</w:t>
            </w:r>
          </w:p>
        </w:tc>
        <w:tc>
          <w:tcPr>
            <w:tcW w:w="3120" w:type="dxa"/>
          </w:tcPr>
          <w:p>
            <w:r>
              <w:t>Concluir atendimento em horário permitido e registrar recebimentos parciais.</w:t>
            </w:r>
          </w:p>
        </w:tc>
        <w:tc>
          <w:tcPr>
            <w:tcW w:w="3120" w:type="dxa"/>
          </w:tcPr>
          <w:p>
            <w:r>
              <w:t>Valor do serviço, recebido líquido de estornos e saldo são calculados e exibidos separadamente.</w:t>
            </w:r>
          </w:p>
        </w:tc>
      </w:tr>
      <w:tr>
        <w:tc>
          <w:tcPr>
            <w:tcW w:w="3120" w:type="dxa"/>
          </w:tcPr>
          <w:p>
            <w:r>
              <w:t>PLAN-07</w:t>
            </w:r>
          </w:p>
        </w:tc>
        <w:tc>
          <w:tcPr>
            <w:tcW w:w="3120" w:type="dxa"/>
          </w:tcPr>
          <w:p>
            <w:r>
              <w:t>Anular atendimento concluído sem pagamento e tentar excluir/editar o registro anulado.</w:t>
            </w:r>
          </w:p>
        </w:tc>
        <w:tc>
          <w:tcPr>
            <w:tcW w:w="3120" w:type="dxa"/>
          </w:tcPr>
          <w:p>
            <w:r>
              <w:t>Motivo é obrigatório; o atendimento permanece no histórico, sai dos indicadores ativos e não pode ser editado ou excluído.</w:t>
            </w:r>
          </w:p>
        </w:tc>
      </w:tr>
      <w:tr>
        <w:tc>
          <w:tcPr>
            <w:tcW w:w="3120" w:type="dxa"/>
          </w:tcPr>
          <w:p>
            <w:r>
              <w:t>PLAN-08</w:t>
            </w:r>
          </w:p>
        </w:tc>
        <w:tc>
          <w:tcPr>
            <w:tcW w:w="3120" w:type="dxa"/>
          </w:tcPr>
          <w:p>
            <w:r>
              <w:t>Estornar pagamentos de um atendimento concluído e tentar anulá-lo antes e depois do estorno integral.</w:t>
            </w:r>
          </w:p>
        </w:tc>
        <w:tc>
          <w:tcPr>
            <w:tcW w:w="3120" w:type="dxa"/>
          </w:tcPr>
          <w:p>
            <w:r>
              <w:t>Anulação é bloqueada enquanto houver saldo recebido; estornos parciais não excedem cada pagamento e precisam confirmar devolução já realizada; após estorno integral, anulação exige motivo e preserva os movimentos financeiros.</w:t>
            </w:r>
          </w:p>
        </w:tc>
      </w:tr>
      <w:tr>
        <w:tc>
          <w:tcPr>
            <w:tcW w:w="3120" w:type="dxa"/>
          </w:tcPr>
          <w:p>
            <w:r>
              <w:t>PLAN-09</w:t>
            </w:r>
          </w:p>
        </w:tc>
        <w:tc>
          <w:tcPr>
            <w:tcW w:w="3120" w:type="dxa"/>
          </w:tcPr>
          <w:p>
            <w:r>
              <w:t>Navegar pelos relatórios e gerar PDF de categoria e Total.</w:t>
            </w:r>
          </w:p>
        </w:tc>
        <w:tc>
          <w:tcPr>
            <w:tcW w:w="3120" w:type="dxa"/>
          </w:tcPr>
          <w:p>
            <w:r>
              <w:t>Cada seleção exibe o relatório correto; PDFs são arquivos separados e imprimíveis.</w:t>
            </w:r>
          </w:p>
        </w:tc>
      </w:tr>
      <w:tr>
        <w:tc>
          <w:tcPr>
            <w:tcW w:w="3120" w:type="dxa"/>
          </w:tcPr>
          <w:p>
            <w:r>
              <w:t>PLAN-10</w:t>
            </w:r>
          </w:p>
        </w:tc>
        <w:tc>
          <w:tcPr>
            <w:tcW w:w="3120" w:type="dxa"/>
          </w:tcPr>
          <w:p>
            <w:r>
              <w:t>Exportar e restaurar backups válidos e inválidos em base descartável; incluir estornos, backup antigo, cancelamento e falha simulada de armazenamento.</w:t>
            </w:r>
          </w:p>
        </w:tc>
        <w:tc>
          <w:tcPr>
            <w:tcW w:w="3120" w:type="dxa"/>
          </w:tcPr>
          <w:p>
            <w:r>
              <w:t>Exportação gera JSON com estornos/vínculos; coleção inválida ou estorno acima do pagamento é recusado antes da confirmação; cancelar e falhas de gravação preservam os dados; backup antigo sem coleções financeiras restaura listas vazias.</w:t>
            </w:r>
          </w:p>
        </w:tc>
      </w:tr>
      <w:tr>
        <w:tc>
          <w:tcPr>
            <w:tcW w:w="3120" w:type="dxa"/>
          </w:tcPr>
          <w:p>
            <w:r>
              <w:t>PLAN-11</w:t>
            </w:r>
          </w:p>
        </w:tc>
        <w:tc>
          <w:tcPr>
            <w:tcW w:w="3120" w:type="dxa"/>
          </w:tcPr>
          <w:p>
            <w:r>
              <w:t>Usar diálogos e navegação com teclado e em viewport estreito.</w:t>
            </w:r>
          </w:p>
        </w:tc>
        <w:tc>
          <w:tcPr>
            <w:tcW w:w="3120" w:type="dxa"/>
          </w:tcPr>
          <w:p>
            <w:r>
              <w:t>Foco e semântica compreensíveis; controles permanecem operáveis e conteúdo utilizável.</w:t>
            </w:r>
          </w:p>
        </w:tc>
      </w:tr>
    </w:tbl>
    <w:p>
      <w:pPr>
        <w:pStyle w:val="Heading1"/>
      </w:pPr>
      <w:r>
        <w:t>9. Rastreamento</w:t>
      </w:r>
    </w:p>
    <w:p>
      <w:pPr/>
      <w:r>
        <w:t xml:space="preserve">Use o documento </w:t>
      </w:r>
      <w:r>
        <w:t>Testes Exploratórios PetCare PetQA.md</w:t>
      </w:r>
      <w:r>
        <w:t xml:space="preserve"> para passos detalhados, registro de sessão e status por cenário. Registre somente evidências realmente observadas na execução.</w:t>
      </w:r>
    </w:p>
    <w:p>
      <w:pPr>
        <w:pStyle w:val="Heading1"/>
      </w:pPr>
      <w:r>
        <w:t>10. Premissas conhecidas</w:t>
      </w:r>
    </w:p>
    <w:p>
      <w:pPr>
        <w:pStyle w:val="ListParagraph"/>
      </w:pPr>
      <w:r>
        <w:t>? </w:t>
      </w:r>
      <w:r>
        <w:t>Os dados ficam no armazenamento local do navegador.</w:t>
      </w:r>
    </w:p>
    <w:p>
      <w:pPr>
        <w:pStyle w:val="ListParagraph"/>
      </w:pPr>
      <w:r>
        <w:t>? </w:t>
      </w:r>
      <w:r>
        <w:t>A exportação é um arquivo JSON; a restauração substitui os dados atuais após confirmação.</w:t>
      </w:r>
    </w:p>
    <w:p>
      <w:pPr>
        <w:pStyle w:val="ListParagraph"/>
      </w:pPr>
      <w:r>
        <w:t>? </w:t>
      </w:r>
      <w:r>
        <w:t>A coleção de estornos é compatível com backups anteriores sem esse campo; quando há recebimentos, a anulação só é permitida após registrar estorno integral de cada pagamento.</w:t>
      </w:r>
    </w:p>
    <w:p>
      <w:pPr>
        <w:pStyle w:val="ListParagraph"/>
      </w:pPr>
      <w:r>
        <w:t>? </w:t>
      </w:r>
      <w:r>
        <w:t>Pagamentos são lançamentos manuais; o aplicativo não cobra o cliente.</w:t>
      </w:r>
    </w:p>
    <w:p>
      <w:pPr>
        <w:pStyle w:val="ListParagraph"/>
      </w:pPr>
      <w:r>
        <w:t>? </w:t>
      </w:r>
      <w:r>
        <w:t>O disparo de links de mensagem é externo e manual.</w:t>
      </w:r>
    </w:p>
    <w:p>
      <w:pPr>
        <w:pStyle w:val="ListParagraph"/>
      </w:pPr>
      <w:r>
        <w:t>? </w:t>
      </w:r>
      <w:r>
        <w:t>Horários duplicados e demais regras de negócio não especificadas devem ser registrados como dúvida, não presumidos como defeito.</w:t>
      </w:r>
    </w:p>
    <w:sectPr>
      <w:pgSz w:w="12240" w:h="15840"/>
      <w:pgMar w:top="1080" w:right="1440" w:bottom="108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 w:hAnsi="Calibri"/>
      <w:sz w:val="22"/>
      <w:color w:val="202124"/>
    </w:rPr>
  </w:style>
  <w:style w:type="paragraph" w:styleId="Title">
    <w:name w:val="Title"/>
    <w:rPr>
      <w:rFonts w:ascii="Calibri" w:hAnsi="Calibri"/>
      <w:sz w:val="36"/>
      <w:color w:val="174A6E"/>
      <w:b/>
    </w:rPr>
  </w:style>
  <w:style w:type="paragraph" w:styleId="Heading1">
    <w:name w:val="Heading1"/>
    <w:rPr>
      <w:rFonts w:ascii="Calibri" w:hAnsi="Calibri"/>
      <w:sz w:val="30"/>
      <w:color w:val="174A6E"/>
      <w:b/>
    </w:rPr>
    <w:pPr>
      <w:keepNext/>
    </w:pPr>
  </w:style>
  <w:style w:type="paragraph" w:styleId="Heading2">
    <w:name w:val="Heading2"/>
    <w:rPr>
      <w:rFonts w:ascii="Calibri" w:hAnsi="Calibri"/>
      <w:sz w:val="26"/>
      <w:color w:val="24617D"/>
      <w:b/>
    </w:rPr>
    <w:pPr>
      <w:keepNext/>
    </w:pPr>
  </w:style>
  <w:style w:type="paragraph" w:styleId="Heading3">
    <w:name w:val="Heading3"/>
    <w:rPr>
      <w:rFonts w:ascii="Calibri" w:hAnsi="Calibri"/>
      <w:sz w:val="23"/>
      <w:color w:val="24617D"/>
      <w:b/>
    </w:rPr>
    <w:pPr>
      <w:keepNext/>
    </w:pPr>
  </w:style>
  <w:style w:type="paragraph" w:styleId="ListParagraph">
    <w:name w:val="ListParagraph"/>
    <w:rPr>
      <w:rFonts w:ascii="Calibri" w:hAnsi="Calibri"/>
      <w:sz w:val="22"/>
      <w:color w:val="202124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