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GUIÃO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Gestão de Stocks de uma empresa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Identifique as entidades, atributos e relações da base de dados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Produto: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código;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nome;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preço;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iva;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unidade em armazém;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Encomenda;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nº encomenda;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realização da encomenda;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fornecedor;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Fornecedor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nome;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nif;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endereço;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fax;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condições pagamento;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interno;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Fornecedor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Designação;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Interno;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Caracterize as relações quanto ao grau, cardinalidade e obrigatoriedade de participação das entidades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Relações: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encomenda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realizada </w:t>
      </w:r>
      <w:r w:rsidDel="00000000" w:rsidR="00000000" w:rsidRPr="00000000">
        <w:rPr>
          <w:sz w:val="24"/>
          <w:szCs w:val="24"/>
          <w:rtl w:val="0"/>
        </w:rPr>
        <w:t xml:space="preserve">por um fornecedor único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Grau: binária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N:1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Obrigatoriedade de participação das entidades: encomenda é obrigatória e não o fornecedor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encomenda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contém </w:t>
      </w:r>
      <w:r w:rsidDel="00000000" w:rsidR="00000000" w:rsidRPr="00000000">
        <w:rPr>
          <w:sz w:val="24"/>
          <w:szCs w:val="24"/>
          <w:rtl w:val="0"/>
        </w:rPr>
        <w:t xml:space="preserve">um ou mais produtos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Grau: binária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Obrigatoriedade de participação das entidades: encomenda é obrigatória e produtos não é obrigatório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Fornecedor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 </w:t>
      </w:r>
      <w:r w:rsidDel="00000000" w:rsidR="00000000" w:rsidRPr="00000000">
        <w:rPr>
          <w:sz w:val="24"/>
          <w:szCs w:val="24"/>
          <w:rtl w:val="0"/>
        </w:rPr>
        <w:t xml:space="preserve">tipo de Fornecedor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Grau: binária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N:1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Obrigatoriedade de participação das entidades: fornecedor é obrigatório e não o tipo de fornecedor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Desenvolva o desenho conceptual da base de dados com recurso a um diagrama entidade-relação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1488" cy="72463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724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Prescrição Eletrónica de Medicamentos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Desenvolva o desenho conceptual da base de dados do Sistema de Prescrição Eletrónica de Medicamentos com recurso a um diagrama entidade-relação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902661" cy="5662612"/>
            <wp:effectExtent b="1120024" l="-1120024" r="-1120024" t="1120024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2661" cy="566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Sistema de Gestão de Conferências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Desenvolva o desenho conceptual da base de dados do Sistema de Gestão de Conferências com recurso a um diagrama entidade-relação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7242" cy="78819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242" cy="788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Informação de uma Universidade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Desenvolva o desenho conceptual da base de dados do Sistema de Informação da Universidade com recurso a um diagrama entidade-relação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936436" cy="5319712"/>
            <wp:effectExtent b="1308362" l="-1308361" r="-1308361" t="1308362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36436" cy="531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Base de Dados 2019/2020, Prof. Carlos Costa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- P3G4, 80130 Gonçalo Arieiro , 84792 Mariana Pinto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