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2"/>
          <w:szCs w:val="22"/>
        </w:rPr>
        <w:t xml:space="preserve"/>
      </w:r>
    </w:p>
    <w:p>
      <w:pPr>
        <w:spacing w:after="200" w:before="0"/>
        <w:jc w:val="center"/>
      </w:pPr>
      <w:r>
        <w:rPr>
          <w:rFonts w:ascii="Arial" w:cs="Arial" w:eastAsia="Arial" w:hAnsi="Arial"/>
          <w:b/>
          <w:bCs/>
          <w:color w:val="C9A84C"/>
          <w:sz w:val="40"/>
          <w:szCs w:val="40"/>
        </w:rPr>
        <w:t xml:space="preserve">STRATEGIC EXPORT &amp; INTERNATIONALIZATION REPORT</w:t>
      </w:r>
    </w:p>
    <w:p>
      <w:pPr>
        <w:spacing w:after="200" w:before="0"/>
        <w:jc w:val="center"/>
      </w:pPr>
      <w:r>
        <w:rPr>
          <w:rFonts w:ascii="Arial" w:cs="Arial" w:eastAsia="Arial" w:hAnsi="Arial"/>
          <w:b/>
          <w:bCs/>
          <w:color w:val="1A1A2E"/>
          <w:sz w:val="56"/>
          <w:szCs w:val="56"/>
        </w:rPr>
        <w:t xml:space="preserve">HOUSE OF CB</w:t>
      </w:r>
    </w:p>
    <w:p>
      <w:pPr>
        <w:spacing w:after="600" w:before="0"/>
        <w:jc w:val="center"/>
      </w:pPr>
      <w:r>
        <w:rPr>
          <w:rFonts w:ascii="Arial" w:cs="Arial" w:eastAsia="Arial" w:hAnsi="Arial"/>
          <w:i/>
          <w:iCs/>
          <w:color w:val="555555"/>
          <w:sz w:val="26"/>
          <w:szCs w:val="26"/>
        </w:rPr>
        <w:t xml:space="preserve">Digital Export · Fashion Luxury · International Strategy</w:t>
      </w:r>
    </w:p>
    <w:p>
      <w:pPr>
        <w:spacing w:after="400" w:before="0"/>
        <w:jc w:val="center"/>
      </w:pPr>
      <w:r>
        <w:rPr>
          <w:rFonts w:ascii="Arial" w:cs="Arial" w:eastAsia="Arial" w:hAnsi="Arial"/>
          <w:color w:val="C9A84C"/>
          <w:sz w:val="26"/>
          <w:szCs w:val="26"/>
        </w:rPr>
        <w:t xml:space="preserve">────────────────────────────────────</w:t>
      </w:r>
    </w:p>
    <w:p>
      <w:pPr>
        <w:spacing w:after="100" w:before="0"/>
        <w:jc w:val="center"/>
      </w:pPr>
      <w:r>
        <w:rPr>
          <w:rFonts w:ascii="Arial" w:cs="Arial" w:eastAsia="Arial" w:hAnsi="Arial"/>
          <w:color w:val="333333"/>
          <w:sz w:val="22"/>
          <w:szCs w:val="22"/>
        </w:rPr>
        <w:t xml:space="preserve">Prepared by: Export Strategy Consultancy</w:t>
      </w:r>
    </w:p>
    <w:p>
      <w:pPr>
        <w:spacing w:after="100" w:before="0"/>
        <w:jc w:val="center"/>
      </w:pPr>
      <w:r>
        <w:rPr>
          <w:rFonts w:ascii="Arial" w:cs="Arial" w:eastAsia="Arial" w:hAnsi="Arial"/>
          <w:color w:val="333333"/>
          <w:sz w:val="22"/>
          <w:szCs w:val="22"/>
        </w:rPr>
        <w:t xml:space="preserve">Settore: Fashion &amp; Luxury Womenswear | Paese d'Origine: United Kingdom</w:t>
      </w:r>
    </w:p>
    <w:p>
      <w:pPr>
        <w:spacing w:after="100" w:before="0"/>
        <w:jc w:val="center"/>
      </w:pPr>
      <w:r>
        <w:rPr>
          <w:rFonts w:ascii="Arial" w:cs="Arial" w:eastAsia="Arial" w:hAnsi="Arial"/>
          <w:color w:val="333333"/>
          <w:sz w:val="22"/>
          <w:szCs w:val="22"/>
        </w:rPr>
        <w:t xml:space="preserve">Anno: 2025–2026</w:t>
      </w:r>
    </w:p>
    <w:p>
      <w:r>
        <w:br w:type="page"/>
      </w:r>
    </w:p>
    <w:p>
      <w:pPr>
        <w:pStyle w:val="Heading1"/>
        <w:pBdr>
          <w:bottom w:val="single" w:color="C9A84C" w:sz="4" w:space="4"/>
        </w:pBdr>
        <w:spacing w:after="200" w:before="400"/>
      </w:pPr>
      <w:r>
        <w:rPr>
          <w:rFonts w:ascii="Arial" w:cs="Arial" w:eastAsia="Arial" w:hAnsi="Arial"/>
          <w:b/>
          <w:bCs/>
          <w:color w:val="1A1A2E"/>
          <w:sz w:val="32"/>
          <w:szCs w:val="32"/>
        </w:rPr>
        <w:t xml:space="preserve">1. APPROCCIO ALL'AZIENDA</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1.1 Storia e Identità del Brand</w:t>
      </w:r>
    </w:p>
    <w:p>
      <w:pPr>
        <w:spacing w:after="80" w:before="80"/>
        <w:jc w:val="both"/>
      </w:pPr>
      <w:r>
        <w:rPr>
          <w:rFonts w:ascii="Arial" w:cs="Arial" w:eastAsia="Arial" w:hAnsi="Arial"/>
          <w:sz w:val="22"/>
          <w:szCs w:val="22"/>
        </w:rPr>
        <w:t xml:space="preserve">House of CB rappresenta uno dei casi più emblematici di imprenditorialità digitale nel panorama della moda britannica contemporanea. Fondata nel 2010 da Conna Walker — all'epoca diciassettenne — l'azienda ha percorso una traiettoria evolutiva che la distingue radicalmente dai brand costruiti attraverso percorsi tradizionali: nessuna formazione accademica in fashion design, nessun backing di fondi istituzionali, nessuna eredità di maison consolidate. Il modello originario era quello del drop-shipping su eBay, sotto il nome Celeb Boutique, con prodotti acquistati e rivenduti dalla Cina. Questa origine è strategicamente rilevante: ha forgiato nella founder una competenza nativa in digital commerce, pricing elastico e customer acquisition organica — asset che oggi costituiscono il vantaggio competitivo più difficile da replicare.</w:t>
      </w:r>
    </w:p>
    <w:p>
      <w:pPr>
        <w:spacing w:after="120" w:before="120"/>
      </w:pPr>
      <w:r>
        <w:t xml:space="preserve"/>
      </w:r>
    </w:p>
    <w:p>
      <w:pPr>
        <w:spacing w:after="80" w:before="80"/>
        <w:jc w:val="both"/>
      </w:pPr>
      <w:r>
        <w:rPr>
          <w:rFonts w:ascii="Arial" w:cs="Arial" w:eastAsia="Arial" w:hAnsi="Arial"/>
          <w:sz w:val="22"/>
          <w:szCs w:val="22"/>
        </w:rPr>
        <w:t xml:space="preserve">Il rebranding in House of CB (acronimo di House of Celeb Boutique) nel 2014 ha segnato la transizione più significativa: dal modello reseller al modello di brand verticalmente integrato con design in-house. Il design studio londinese diventa il centro creativo, con collezioni sviluppate interamente internamente da un team a prevalenza femminile. Questa scelta non è solo estetica, ma strutturale: il controllo del design consente margini superiori, coerenza nell'identità visiva e velocità di risposta alle tendenze — requisiti fondamentali nel segmento occasionwear-to-luxury.</w:t>
      </w:r>
    </w:p>
    <w:p>
      <w:pPr>
        <w:spacing w:after="120" w:before="120"/>
      </w:pPr>
      <w:r>
        <w:t xml:space="preserve"/>
      </w:r>
    </w:p>
    <w:p>
      <w:pPr>
        <w:spacing w:after="80" w:before="80"/>
        <w:jc w:val="both"/>
      </w:pPr>
      <w:r>
        <w:rPr>
          <w:rFonts w:ascii="Arial" w:cs="Arial" w:eastAsia="Arial" w:hAnsi="Arial"/>
          <w:sz w:val="22"/>
          <w:szCs w:val="22"/>
        </w:rPr>
        <w:t xml:space="preserve">I milestone chiave nell'evoluzione del brand includono: l'apertura dei primi flagship store fisici nel 2019 a Londra e negli Stati Uniti; l'endorsement organico di celebrity globali come Beyoncé, Kim Kardashian, Jennifer Lopez, Gigi Hadid e Khloé Kardashian, che hanno amplificato esponenzialmente la brand awareness senza investimenti pubblicitari diretti; il raggiungimento di circa 200 milioni di dollari di fatturato annuo secondo fonti di settore; e la vendita stimata di un abito ogni 30 secondi. Il dato più significativo è che la crescita è avvenuta in larga misura attraverso earned media e social commerce organico, con una community Instagram che ha superato i 4,5-6 milioni di follower, rappresentando un database di clienti ad altissimo valore di engagement.</w:t>
      </w:r>
    </w:p>
    <w:p>
      <w:pPr>
        <w:spacing w:after="120" w:before="120"/>
      </w:pPr>
      <w:r>
        <w:t xml:space="preserve"/>
      </w:r>
    </w:p>
    <w:p>
      <w:pPr>
        <w:spacing w:after="80" w:before="80"/>
        <w:jc w:val="both"/>
      </w:pPr>
      <w:r>
        <w:rPr>
          <w:rFonts w:ascii="Arial" w:cs="Arial" w:eastAsia="Arial" w:hAnsi="Arial"/>
          <w:sz w:val="22"/>
          <w:szCs w:val="22"/>
        </w:rPr>
        <w:t xml:space="preserve">La differenziazione competitiva di House of CB è costruita su un'equazione precisa: silhouette a clessidra attraverso tecniche di corsetteria e tessuti stretch strutturati, qualità esecutiva percepita come premium, prezzi accessibili rispetto all'alta moda tradizionale (fascia £80–£400), e una narrativa di empowerment femminile coerente con i valori della Gen Z e dei Millennial globali. Il posizionamento si colloca deliberatamente nel segmento 'accessible luxury' o 'premium contemporary', competendo con BCBG Max Azria, Self-Portrait, Retrofête e Karen Millen, ma con un'identità social-first che le conferisce una reach generazionale unica.</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1.2 Certificazioni, Compliance e Profilo ESG</w:t>
      </w:r>
    </w:p>
    <w:p>
      <w:pPr>
        <w:spacing w:after="80" w:before="80"/>
        <w:jc w:val="both"/>
      </w:pPr>
      <w:r>
        <w:rPr>
          <w:rFonts w:ascii="Arial" w:cs="Arial" w:eastAsia="Arial" w:hAnsi="Arial"/>
          <w:sz w:val="22"/>
          <w:szCs w:val="22"/>
        </w:rPr>
        <w:t xml:space="preserve">L'analisi del profilo ESG di House of CB rivela una lacuna strategica significativa. La valutazione di Good On You (aggiornata dicembre 2024) assegna al brand il rating 'We Avoid', la categoria più bassa nella scala di sostenibilità. La piattaforma evidenzia: uso limitato di materiali a basso impatto ambientale; assenza di evidenza pubblica di azioni concrete per la riduzione dell'impatto climatico; nessuna documentazione sulla minimizzazione degli scarti tessili nella supply chain; politiche sui diritti dei lavoratori non sufficientemente pubbliche. Questo dato non è marginale: nella dinamica attuale dei mercati target — in particolare UE, Middle East premium e USA affluent — la trasparenza ESG è diventata un prerequisito reputazionale.</w:t>
      </w:r>
    </w:p>
    <w:p>
      <w:pPr>
        <w:spacing w:after="120" w:before="120"/>
      </w:pPr>
      <w:r>
        <w:t xml:space="preserve"/>
      </w:r>
    </w:p>
    <w:p>
      <w:pPr>
        <w:spacing w:after="80" w:before="80"/>
        <w:jc w:val="both"/>
      </w:pPr>
      <w:r>
        <w:rPr>
          <w:rFonts w:ascii="Arial" w:cs="Arial" w:eastAsia="Arial" w:hAnsi="Arial"/>
          <w:sz w:val="22"/>
          <w:szCs w:val="22"/>
        </w:rPr>
        <w:t xml:space="preserve">Sul piano delle certificazioni formali, House of CB non presenta certificazioni tessili di settore riconosciute (GOTS — Global Organic Textile Standard, OEKO-TEX Standard 100, bluesign, Fair Trade Certified, B Corp). L'assenza di queste certificazioni crea un rischio regolatorio crescente: la EU Corporate Sustainability Reporting Directive (CSRD), che impone obblighi di rendicontazione ESG alle imprese che operano nel mercato europeo oltre certe soglie, impatterà progressivamente anche i brand non-EU che vendono nell'area comunitaria. Analogamente, il Digital Product Passport europeo, in fase di implementazione per il settore tessile entro il 2026–2030, richiederà tracciabilità completa della filiera.</w:t>
      </w:r>
    </w:p>
    <w:p>
      <w:pPr>
        <w:spacing w:after="120" w:before="120"/>
      </w:pPr>
      <w:r>
        <w:t xml:space="preserve"/>
      </w:r>
    </w:p>
    <w:p>
      <w:pPr>
        <w:spacing w:after="80" w:before="80"/>
        <w:jc w:val="both"/>
      </w:pPr>
      <w:r>
        <w:rPr>
          <w:rFonts w:ascii="Arial" w:cs="Arial" w:eastAsia="Arial" w:hAnsi="Arial"/>
          <w:sz w:val="22"/>
          <w:szCs w:val="22"/>
        </w:rPr>
        <w:t xml:space="preserve">Sul fronte della protezione dei dati, in quanto operatore di e-commerce internazionale con clientela europea, House of CB è soggetta al GDPR (Reg. UE 2016/679). L'operatività negli USA implica compliance con normative statali variabili (CCPA in California). La gestione dei cookie, le politiche di retention dei dati e i meccanismi di consenso sul sito rappresentano aree di monitoraggio. Il brand dichiara pubblicamente un impegno verso pratiche responsabili, ma senza la certificazione di terze parti, questo impegno resta soggetto allo scrutiny del mercato.</w:t>
      </w:r>
    </w:p>
    <w:p>
      <w:pPr>
        <w:spacing w:after="120" w:before="120"/>
      </w:pPr>
      <w:r>
        <w:t xml:space="preserve"/>
      </w:r>
    </w:p>
    <w:p>
      <w:pPr>
        <w:spacing w:after="80" w:before="80"/>
        <w:jc w:val="both"/>
      </w:pPr>
      <w:r>
        <w:rPr>
          <w:rFonts w:ascii="Arial" w:cs="Arial" w:eastAsia="Arial" w:hAnsi="Arial"/>
          <w:sz w:val="22"/>
          <w:szCs w:val="22"/>
        </w:rPr>
        <w:t xml:space="preserve">L'opportunità strategica derivante da questa analisi è chiara: un piano ESG strutturato — anche graduale, con certificazioni intermedie come OEKO-TEX Confidence in Textiles (più accessibile operativamente) e una Sustainability Report annuale — consentirebbe a House of CB di accedere a segmenti di consumatori premium sempre più selettivi, rafforzare il posizionamento nei department store internazionali (Selfridges, Harrods, Nordstrom) e ridurre il rischio regolatorio nei mercati europei e nordamericani.</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1.3 Modello di Business</w:t>
      </w:r>
    </w:p>
    <w:p>
      <w:pPr>
        <w:spacing w:after="80" w:before="80"/>
        <w:jc w:val="both"/>
      </w:pPr>
      <w:r>
        <w:rPr>
          <w:rFonts w:ascii="Arial" w:cs="Arial" w:eastAsia="Arial" w:hAnsi="Arial"/>
          <w:sz w:val="22"/>
          <w:szCs w:val="22"/>
        </w:rPr>
        <w:t xml:space="preserve">Il business model di House of CB è costruito su un'architettura Direct-to-Consumer (DTC) digitalmente nativa, con un'espansione omnicanale progressiva verso il retail fisico e i marketplace selettivi. La logica economica è quella del brand verticalmente integrato: design in-house, produzione esternalizzata (con manifattura prevalentemente britannica e parzialmente europea/asiatica per certi articoli), distribuzione proprietaria attraverso il sito houseofcb.com, e un sistema di fulfillment che supporta spedizioni internazionali.</w:t>
      </w:r>
    </w:p>
    <w:p>
      <w:pPr>
        <w:spacing w:after="120" w:before="120"/>
      </w:pPr>
      <w:r>
        <w:t xml:space="preserve"/>
      </w:r>
    </w:p>
    <w:p>
      <w:pPr>
        <w:spacing w:after="80" w:before="80"/>
        <w:jc w:val="both"/>
      </w:pPr>
      <w:r>
        <w:rPr>
          <w:rFonts w:ascii="Arial" w:cs="Arial" w:eastAsia="Arial" w:hAnsi="Arial"/>
          <w:sz w:val="22"/>
          <w:szCs w:val="22"/>
        </w:rPr>
        <w:t xml:space="preserve">I revenue stream principali si articolano in: e-commerce DTC (canale dominante, con il sito proprietario come hub primario di vendita); retail fisico (flagship Oxford Street, Westfield Stratford, Manchester Arndale, Los Angeles, Atlanta, con espansione pianificata Liverpool e Dubai); retail wholesale selettivo (presenza in Selfridges, Nordstrom, ASOS — quest'ultimo risultante da una recente partnership strategica); e un nascente canale bridal che diversifica il portfolio verso un segmento ad alto valore medio d'ordine (AOV). La struttura multicanale riduce la dipendenza da un singolo punto di distribuzione e consente una presenza brand coerente lungo diversi touchpoint del customer journey.</w:t>
      </w:r>
    </w:p>
    <w:p>
      <w:pPr>
        <w:spacing w:after="120" w:before="120"/>
      </w:pPr>
      <w:r>
        <w:t xml:space="preserve"/>
      </w:r>
    </w:p>
    <w:p>
      <w:pPr>
        <w:spacing w:after="80" w:before="80"/>
        <w:jc w:val="both"/>
      </w:pPr>
      <w:r>
        <w:rPr>
          <w:rFonts w:ascii="Arial" w:cs="Arial" w:eastAsia="Arial" w:hAnsi="Arial"/>
          <w:sz w:val="22"/>
          <w:szCs w:val="22"/>
        </w:rPr>
        <w:t xml:space="preserve">La pricing strategy posiziona House of CB nel segmento 'accessible luxury': dresses nella fascia £80–£350, coord sets £120–£250, occasionwear premium fino a £400+. Questo pricing è sostenuto da un perceived value costruito sull'associazione con celebrity A-list e sulla qualità costruttiva, ma rimane significativamente sotto l'high-end designer (Zimmermann, Self-Portrait), creando uno spazio di mercato difendibile. Il margine lordo stimato, coerente con i benchmark del settore DTC fashion premium, si colloca nel range 55–65%, sufficientemente robusto da supportare investimenti in customer acquisition e espansione fisica.</w:t>
      </w:r>
    </w:p>
    <w:p>
      <w:pPr>
        <w:spacing w:after="120" w:before="120"/>
      </w:pPr>
      <w:r>
        <w:t xml:space="preserve"/>
      </w:r>
    </w:p>
    <w:p>
      <w:pPr>
        <w:spacing w:after="80" w:before="80"/>
        <w:jc w:val="both"/>
      </w:pPr>
      <w:r>
        <w:rPr>
          <w:rFonts w:ascii="Arial" w:cs="Arial" w:eastAsia="Arial" w:hAnsi="Arial"/>
          <w:sz w:val="22"/>
          <w:szCs w:val="22"/>
        </w:rPr>
        <w:t xml:space="preserve">La supply chain è un'area critica per la scalabilità internazionale. La produzione in UK garantisce branding di origine premium (British design) ma crea potenziali colli di bottiglia nella velocità di go-to-market rispetto ai competitor con produzione in Asia. Il mix di fonti produttive richiede una gestione logistica internazionale sofisticata, con impatto sui costi di landed duty (UK-EU post-Brexit implica tariffe doganali per le spedizioni B2B verso l'UE, sebbene le spedizioni DTC sotto soglia rimangano esentate sotto certi threshold).</w:t>
      </w:r>
    </w:p>
    <w:p>
      <w:pPr>
        <w:spacing w:after="120" w:before="120"/>
      </w:pPr>
      <w:r>
        <w:t xml:space="preserve"/>
      </w:r>
    </w:p>
    <w:p>
      <w:pPr>
        <w:spacing w:after="80" w:before="80"/>
        <w:jc w:val="both"/>
      </w:pPr>
      <w:r>
        <w:rPr>
          <w:rFonts w:ascii="Arial" w:cs="Arial" w:eastAsia="Arial" w:hAnsi="Arial"/>
          <w:sz w:val="22"/>
          <w:szCs w:val="22"/>
        </w:rPr>
        <w:t xml:space="preserve">L'infrastruttura digitale è il pilastro operativo del modello. Il sito proprietario (powered by Trackerteer.com secondo il footer) gestisce il customer journey end-to-end, dalle collezioni alla conversione. L'integrazione con i canali social (Instagram come principale driver di awareness, TikTok come canale emergente di discovery) crea un flywheel di acquisizione organica difficilmente replicabile per i competitor tradizionali. La strategia CRM — basata su email marketing, early access sales e loyalty program implicito — mantiene high la retention di una clientela con frequenza d'acquisto superiore alla media del settore occasionwear.</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1.4 Target e Segmentazione della Clientela</w:t>
      </w:r>
    </w:p>
    <w:p>
      <w:pPr>
        <w:spacing w:after="80" w:before="80"/>
        <w:jc w:val="both"/>
      </w:pPr>
      <w:r>
        <w:rPr>
          <w:rFonts w:ascii="Arial" w:cs="Arial" w:eastAsia="Arial" w:hAnsi="Arial"/>
          <w:sz w:val="22"/>
          <w:szCs w:val="22"/>
        </w:rPr>
        <w:t xml:space="preserve">Il customer profile primario di House of CB si concentra su donne tra i 18 e i 38 anni, con una concentrazione più densa nella fascia 22–32 (Millennial e Gen Z senior). Il profilo socioeconomico è middle-to-upper class urbana, con reddito discrezionale significativo e forte digitalizzazione. Geograficamente, il core market è anglofono: UK, USA, Australia, con una penetrazione significativa e crescente nel Middle East (clientela affluente araba e internazionale residente). La propensione alla spesa si manifesta in occasioni specifiche: eventi sociali, serate, matrimoni, vacanze esotiche — segmenti classificabili come 'occasion-driven purchase'.</w:t>
      </w:r>
    </w:p>
    <w:p>
      <w:pPr>
        <w:spacing w:after="120" w:before="120"/>
      </w:pPr>
      <w:r>
        <w:t xml:space="preserve"/>
      </w:r>
    </w:p>
    <w:p>
      <w:pPr>
        <w:spacing w:after="80" w:before="80"/>
        <w:jc w:val="both"/>
      </w:pPr>
      <w:r>
        <w:rPr>
          <w:rFonts w:ascii="Arial" w:cs="Arial" w:eastAsia="Arial" w:hAnsi="Arial"/>
          <w:sz w:val="22"/>
          <w:szCs w:val="22"/>
        </w:rPr>
        <w:t xml:space="preserve">Il comportamento digitale del target è determinante per la strategia export. Si tratta di consumatrici social-first: scoprono il brand attraverso celebrity endorsement su Instagram, si informano attraverso UGC (User Generated Content) e micro-influencer, e convertono attraverso il sito DTC o, in alternativa, attraverso marketplace di fiducia come ASOS e Nordstrom. Il ticket medio d'ordine stimato si colloca tra £150 e £250 per il sito proprietario, con variabilità verso l'alto per le occasioni speciali (bridal, gala). Il lifetime value (LTV) è elevato per le clienti core: la combinazione di nuove collezioni frequenti, range stagionale ampio e forte brand affinity crea pattern di riacquisto consistenti.</w:t>
      </w:r>
    </w:p>
    <w:p>
      <w:pPr>
        <w:spacing w:after="120" w:before="120"/>
      </w:pPr>
      <w:r>
        <w:t xml:space="preserve"/>
      </w:r>
    </w:p>
    <w:p>
      <w:pPr>
        <w:spacing w:after="80" w:before="80"/>
        <w:jc w:val="both"/>
      </w:pPr>
      <w:r>
        <w:rPr>
          <w:rFonts w:ascii="Arial" w:cs="Arial" w:eastAsia="Arial" w:hAnsi="Arial"/>
          <w:sz w:val="22"/>
          <w:szCs w:val="22"/>
        </w:rPr>
        <w:t xml:space="preserve">La coerenza tra questo target e la strategia export è strutturale. Il profilo della consumatrice House of CB è per definizione internazionale: è la donna che viaggia, che vive nei centri urbani globali, che segue i trend celebrities sui social media indipendentemente dalla sua nazionalità. Questo significa che la domanda latente esiste già nei mercati target non ancora pienamente presidiati — il compito della strategia export è attivare canali di distribuzione adeguati per convertire questa domanda già esistente in transazioni effettive.</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1.5 Situazione Export Attuale</w:t>
      </w:r>
    </w:p>
    <w:p>
      <w:pPr>
        <w:spacing w:after="80" w:before="80"/>
        <w:jc w:val="both"/>
      </w:pPr>
      <w:r>
        <w:rPr>
          <w:rFonts w:ascii="Arial" w:cs="Arial" w:eastAsia="Arial" w:hAnsi="Arial"/>
          <w:sz w:val="22"/>
          <w:szCs w:val="22"/>
        </w:rPr>
        <w:t xml:space="preserve">House of CB presenta un profilo di internazionalizzazione avanzato in termini di brand awareness globale, ma ancora relativamente concentrato in termini di presenza fisica e distribuzione diretta. I mercati attualmente presidiate con retail fisico sono: UK (flagship Oxford Street, Westfield Stratford, Manchester Arndale) e USA (Los Angeles, Atlanta). L'espansione pianificata include Liverpool e Dubai, segnalando la direttrice strategica verso il Middle East — mercato ad alto potenziale per il brand.</w:t>
      </w:r>
    </w:p>
    <w:p>
      <w:pPr>
        <w:spacing w:after="120" w:before="120"/>
      </w:pPr>
      <w:r>
        <w:t xml:space="preserve"/>
      </w:r>
    </w:p>
    <w:p>
      <w:pPr>
        <w:spacing w:after="80" w:before="80"/>
        <w:jc w:val="both"/>
      </w:pPr>
      <w:r>
        <w:rPr>
          <w:rFonts w:ascii="Arial" w:cs="Arial" w:eastAsia="Arial" w:hAnsi="Arial"/>
          <w:sz w:val="22"/>
          <w:szCs w:val="22"/>
        </w:rPr>
        <w:t xml:space="preserve">Il canale e-commerce internazionale è attivo e serve mercati globali attraverso il sito proprietario, con spedizioni worldwide. La partnership con ASOS (lanciata con 60 stili) offre una distribuzione aggiuntiva nel mercato europeo e globale attraverso una piattaforma con traffico di oltre 100 milioni di visitatori mensili. La presenza su Nordstrom copre il segmento premium USA. La distribuzione in Selfridges rafforza il posizionamento luxury nel mercato UK e tra la clientela turistica internazionale che frequenta i grandi department store londinesi.</w:t>
      </w:r>
    </w:p>
    <w:p>
      <w:pPr>
        <w:spacing w:after="120" w:before="120"/>
      </w:pPr>
      <w:r>
        <w:t xml:space="preserve"/>
      </w:r>
    </w:p>
    <w:p>
      <w:pPr>
        <w:spacing w:after="80" w:before="80"/>
        <w:jc w:val="both"/>
      </w:pPr>
      <w:r>
        <w:rPr>
          <w:rFonts w:ascii="Arial" w:cs="Arial" w:eastAsia="Arial" w:hAnsi="Arial"/>
          <w:sz w:val="22"/>
          <w:szCs w:val="22"/>
        </w:rPr>
        <w:t xml:space="preserve">Le principali limitazioni del posizionamento export attuale sono: dipendenza dal mercato anglofono (USA e UK come generatori di revenue primari, con limitata penetrazione in mercati non-anglofoni ad alto potenziale come Italia, Francia, Germania, GCC); assenza di distribuzione locale in mercati di consumo premium consolidati (Emirati Arabi, Arabia Saudita, Australia profonda, Corea del Sud); mancanza di localizzazione digitale (il sito è esclusivamente in inglese, senza versioni localizzate per mercati non-anglofoni); rischio Brexit per le operazioni logistiche verso l'UE (dazi doganali sulle spedizioni B2B superiori alle soglie de minimis).</w:t>
      </w:r>
    </w:p>
    <w:p>
      <w:pPr>
        <w:spacing w:after="120" w:before="120"/>
      </w:pPr>
      <w:r>
        <w:t xml:space="preserve"/>
      </w:r>
    </w:p>
    <w:p>
      <w:pPr>
        <w:spacing w:after="80" w:before="80"/>
        <w:jc w:val="both"/>
      </w:pPr>
      <w:r>
        <w:rPr>
          <w:rFonts w:ascii="Arial" w:cs="Arial" w:eastAsia="Arial" w:hAnsi="Arial"/>
          <w:sz w:val="22"/>
          <w:szCs w:val="22"/>
        </w:rPr>
        <w:t xml:space="preserve">L'export share rispetto al fatturato totale non è pubblicamente rivelato, ma la forza del mercato USA — con più flagship e una forte penetrazione social — suggerisce che il mercato nordamericano contribuisca tra il 30 e il 45% del fatturato totale, con il mercato UK come mercato domestico primario. Questa stima implica che il brand ha già dimostrato la sua capacità di internazionalizzazione, ma che esiste un significativo upside in mercati ancora non pienamente attivati.</w:t>
      </w:r>
    </w:p>
    <w:p>
      <w:pPr>
        <w:spacing w:after="120" w:before="120"/>
      </w:pPr>
      <w:r>
        <w:t xml:space="preserve"/>
      </w:r>
    </w:p>
    <w:p>
      <w:r>
        <w:br w:type="page"/>
      </w:r>
    </w:p>
    <w:p>
      <w:pPr>
        <w:pStyle w:val="Heading1"/>
        <w:pBdr>
          <w:bottom w:val="single" w:color="C9A84C" w:sz="4" w:space="4"/>
        </w:pBdr>
        <w:spacing w:after="200" w:before="400"/>
      </w:pPr>
      <w:r>
        <w:rPr>
          <w:rFonts w:ascii="Arial" w:cs="Arial" w:eastAsia="Arial" w:hAnsi="Arial"/>
          <w:b/>
          <w:bCs/>
          <w:color w:val="1A1A2E"/>
          <w:sz w:val="32"/>
          <w:szCs w:val="32"/>
        </w:rPr>
        <w:t xml:space="preserve">2. SELEZIONE E STUDIO DI ATTRATTIVITÀ DEI PAESI TARGET</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2.1 Prodotti Esportabili e Codici HS</w:t>
      </w:r>
    </w:p>
    <w:p>
      <w:pPr>
        <w:spacing w:after="80" w:before="80"/>
        <w:jc w:val="both"/>
      </w:pPr>
      <w:r>
        <w:rPr>
          <w:rFonts w:ascii="Arial" w:cs="Arial" w:eastAsia="Arial" w:hAnsi="Arial"/>
          <w:sz w:val="22"/>
          <w:szCs w:val="22"/>
        </w:rPr>
        <w:t xml:space="preserve">La selezione dei prodotti esportabili prioritari è guidata dalla combinazione tra volume di vendita, margine e potenziale di differenziazione internazionale. I codici HS (Harmonized System) rilevanti per House of CB sono i seguenti:</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Categoria Prodotto</w:t>
            </w:r>
          </w:p>
        </w:tc>
        <w:tc>
          <w:tcPr>
            <w:tcW w:type="dxa" w:w="225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Codice HS</w:t>
            </w:r>
          </w:p>
        </w:tc>
        <w:tc>
          <w:tcPr>
            <w:tcW w:type="dxa" w:w="225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Descrizione Doganale</w:t>
            </w:r>
          </w:p>
        </w:tc>
        <w:tc>
          <w:tcPr>
            <w:tcW w:type="dxa" w:w="225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Rilevanza Strategica</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Abiti da sera/occasione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HS 6204.49</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Abiti donna in fibre sintetiche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Core product – massima priorità</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Corset dresses / bodycon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HS 6211.42</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Indumenti donna in tessuto elasticizzato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Hero product – USP primario</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Coordinati (top+gonna)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HS 6204.69 / 6206</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Completi donna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 marginalità</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Abiti bridal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HS 6204.19</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Abiti nuziali/cerimonia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Segmento premium emergente</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Lingerie / bodywear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HS 6212.10</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Reggiseni e indumenti simili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Categoria secondaria</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Swimwear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HS 6211.11</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Costumi da bagno donna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Stagionale – mercati caldi</w:t>
            </w:r>
          </w:p>
        </w:tc>
      </w:tr>
    </w:tbl>
    <w:p>
      <w:pPr>
        <w:spacing w:after="120" w:before="120"/>
      </w:pPr>
      <w:r>
        <w:t xml:space="preserve"/>
      </w:r>
    </w:p>
    <w:p>
      <w:pPr>
        <w:pStyle w:val="Heading2"/>
        <w:spacing w:after="150" w:before="300"/>
      </w:pPr>
      <w:r>
        <w:rPr>
          <w:rFonts w:ascii="Arial" w:cs="Arial" w:eastAsia="Arial" w:hAnsi="Arial"/>
          <w:b/>
          <w:bCs/>
          <w:color w:val="1A1A2E"/>
          <w:sz w:val="26"/>
          <w:szCs w:val="26"/>
        </w:rPr>
        <w:t xml:space="preserve">2.2 Metodologia di Market Selection</w:t>
      </w:r>
    </w:p>
    <w:p>
      <w:pPr>
        <w:spacing w:after="80" w:before="80"/>
        <w:jc w:val="both"/>
      </w:pPr>
      <w:r>
        <w:rPr>
          <w:rFonts w:ascii="Arial" w:cs="Arial" w:eastAsia="Arial" w:hAnsi="Arial"/>
          <w:sz w:val="22"/>
          <w:szCs w:val="22"/>
        </w:rPr>
        <w:t xml:space="preserve">La selezione dei paesi target è stata condotta attraverso un framework multi-criterio che integra: dimensione del mercato womenswear premium/luxury; tasso di crescita del segmento; penetrazione e-commerce; maturità digitale del consumatore; reddito pro capite e potere d'acquisto; facilità logistica e dazi doganali applicabili; rischio paese (politico, valutario, regolatorio); competitive intensity nel segmento accessible luxury; e coerenza con il profilo della consumatrice House of CB.</w:t>
      </w:r>
    </w:p>
    <w:p>
      <w:pPr>
        <w:spacing w:after="120" w:before="120"/>
      </w:pPr>
      <w:r>
        <w:t xml:space="preserve"/>
      </w:r>
    </w:p>
    <w:p>
      <w:pPr>
        <w:spacing w:after="80" w:before="80"/>
        <w:jc w:val="both"/>
      </w:pPr>
      <w:r>
        <w:rPr>
          <w:rFonts w:ascii="Arial" w:cs="Arial" w:eastAsia="Arial" w:hAnsi="Arial"/>
          <w:sz w:val="22"/>
          <w:szCs w:val="22"/>
        </w:rPr>
        <w:t xml:space="preserve">È fondamentale chiarire un limite metodologico: i dati di import per specifiche categorie HS nei segmenti luxury/premium non sempre riflettono la domanda potenziale reale, in quanto una quota significativa degli acquisti di fashion internazionale avviene attraverso canali digitali DTC che non transitano le statistiche doganali tradizionali. La complementarietà tra dati trade ITC/Comtrade e indicatori di e-commerce penetration (Statista, Euromonitor) è pertanto necessaria per una lettura strategicamente corretta.</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2.3 Ranking Comparativo dei Mercati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tcW w:type="dxa" w:w="1289"/>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Paese</w:t>
            </w:r>
          </w:p>
        </w:tc>
        <w:tc>
          <w:tcPr>
            <w:tcW w:type="dxa" w:w="1289"/>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Mercato Womenswear (Mld $)</w:t>
            </w:r>
          </w:p>
        </w:tc>
        <w:tc>
          <w:tcPr>
            <w:tcW w:type="dxa" w:w="1289"/>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CAGR 2024–28</w:t>
            </w:r>
          </w:p>
        </w:tc>
        <w:tc>
          <w:tcPr>
            <w:tcW w:type="dxa" w:w="1289"/>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E-comm Pentr.</w:t>
            </w:r>
          </w:p>
        </w:tc>
        <w:tc>
          <w:tcPr>
            <w:tcW w:type="dxa" w:w="1289"/>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Reddito PC</w:t>
            </w:r>
          </w:p>
        </w:tc>
        <w:tc>
          <w:tcPr>
            <w:tcW w:type="dxa" w:w="1289"/>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Rischio Paese</w:t>
            </w:r>
          </w:p>
        </w:tc>
        <w:tc>
          <w:tcPr>
            <w:tcW w:type="dxa" w:w="1289"/>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/100</w:t>
            </w:r>
          </w:p>
        </w:tc>
      </w:tr>
      <w:tr>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UAE / Dubai</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1.27B (luxury)</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+3.74%</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 (90%)</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~$48K</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Basso-Med.</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88</w:t>
            </w:r>
          </w:p>
        </w:tc>
      </w:tr>
      <w:tr>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Saudi Arabia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~$2.1B apparel</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~$29K</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Medio</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w:t>
            </w:r>
          </w:p>
        </w:tc>
      </w:tr>
      <w:tr>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Australia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~$18B apparel</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Molto alta</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~$56K</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Basso</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w:t>
            </w:r>
          </w:p>
        </w:tc>
      </w:tr>
      <w:tr>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Italia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~$25B apparel</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~$36K</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Basso</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76</w:t>
            </w:r>
          </w:p>
        </w:tc>
      </w:tr>
      <w:tr>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Germania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~$78B apparel</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Molto alta</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~$52K</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Basso</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75</w:t>
            </w:r>
          </w:p>
        </w:tc>
      </w:tr>
      <w:tr>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Francia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~$42B apparel</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~$43K</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Basso</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w:t>
            </w:r>
          </w:p>
        </w:tc>
      </w:tr>
      <w:tr>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Corea del Sud</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~$22B apparel</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+4.8%</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Altissima</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~$33K</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Basso</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r>
      <w:tr>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Canada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~$30B apparel</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~$53K</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Basso</w:t>
            </w:r>
          </w:p>
        </w:tc>
        <w:tc>
          <w:tcPr>
            <w:tcW w:type="dxa" w:w="128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w:t>
            </w:r>
          </w:p>
        </w:tc>
      </w:tr>
    </w:tbl>
    <w:p>
      <w:pPr>
        <w:spacing w:after="120" w:before="120"/>
      </w:pPr>
      <w:r>
        <w:t xml:space="preserve"/>
      </w:r>
    </w:p>
    <w:p>
      <w:pPr>
        <w:pStyle w:val="Heading2"/>
        <w:spacing w:after="150" w:before="300"/>
      </w:pPr>
      <w:r>
        <w:rPr>
          <w:rFonts w:ascii="Arial" w:cs="Arial" w:eastAsia="Arial" w:hAnsi="Arial"/>
          <w:b/>
          <w:bCs/>
          <w:color w:val="1A1A2E"/>
          <w:sz w:val="26"/>
          <w:szCs w:val="26"/>
        </w:rPr>
        <w:t xml:space="preserve">2.4 Interpretazione Critica dei Mercati Prioritari</w:t>
      </w:r>
    </w:p>
    <w:p>
      <w:pPr>
        <w:spacing w:after="100" w:before="240"/>
      </w:pPr>
      <w:r>
        <w:rPr>
          <w:rFonts w:ascii="Arial" w:cs="Arial" w:eastAsia="Arial" w:hAnsi="Arial"/>
          <w:b/>
          <w:bCs/>
          <w:color w:val="C9A84C"/>
          <w:sz w:val="22"/>
          <w:szCs w:val="22"/>
        </w:rPr>
        <w:t xml:space="preserve">UAE / Dubai — Priorità 1</w:t>
      </w:r>
    </w:p>
    <w:p>
      <w:pPr>
        <w:spacing w:after="80" w:before="80"/>
        <w:jc w:val="both"/>
      </w:pPr>
      <w:r>
        <w:rPr>
          <w:rFonts w:ascii="Arial" w:cs="Arial" w:eastAsia="Arial" w:hAnsi="Arial"/>
          <w:sz w:val="22"/>
          <w:szCs w:val="22"/>
        </w:rPr>
        <w:t xml:space="preserve">Il mercato UAE si configura come la priorità assoluta per House of CB per una convergenza di fattori strutturali. Il mercato luxury fashion raggiunge 1,27 miliardi di dollari nel 2024, con un CAGR del 3,74% verso 1,83 miliardi entro il 2033 (IMARC Group). Ma il dato di mercato formale sottostima il potenziale reale: Dubai funge da hub commerciale e turistico per un bacino molto più ampio — consumatrici affluenti da GCC, Russia, India, Africa orientale e Asia centrale convergono su Dubai come destination di shopping. La clientela femminile rappresenta il 63,22% del mercato luxury regionale (Mordor Intelligence 2025).</w:t>
      </w:r>
    </w:p>
    <w:p>
      <w:pPr>
        <w:spacing w:after="120" w:before="120"/>
      </w:pPr>
      <w:r>
        <w:t xml:space="preserve"/>
      </w:r>
    </w:p>
    <w:p>
      <w:pPr>
        <w:spacing w:after="80" w:before="80"/>
        <w:jc w:val="both"/>
      </w:pPr>
      <w:r>
        <w:rPr>
          <w:rFonts w:ascii="Arial" w:cs="Arial" w:eastAsia="Arial" w:hAnsi="Arial"/>
          <w:sz w:val="22"/>
          <w:szCs w:val="22"/>
        </w:rPr>
        <w:t xml:space="preserve">Il allineamento con il brand è quasi perfetto: la consumatrice UAE/GCC è esattamente il target House of CB — fashion-forward, influencer-driven, orientata all'occasionwear glamour e agli eventi sociali (wedding season, National Day events, Ramadan luxury gifting). La già pianificata apertura di un punto vendita a Dubai da parte del brand conferma la riconoscibilità di questa opportunità a livello direzionale. Rischio da monitorare: la sensibilità culturale nella gestione delle immagini promozionali (body-conscious advertising richiede adattamento locale).</w:t>
      </w:r>
    </w:p>
    <w:p>
      <w:pPr>
        <w:spacing w:after="120" w:before="120"/>
      </w:pPr>
      <w:r>
        <w:t xml:space="preserve"/>
      </w:r>
    </w:p>
    <w:p>
      <w:pPr>
        <w:spacing w:after="100" w:before="240"/>
      </w:pPr>
      <w:r>
        <w:rPr>
          <w:rFonts w:ascii="Arial" w:cs="Arial" w:eastAsia="Arial" w:hAnsi="Arial"/>
          <w:b/>
          <w:bCs/>
          <w:color w:val="C9A84C"/>
          <w:sz w:val="22"/>
          <w:szCs w:val="22"/>
        </w:rPr>
        <w:t xml:space="preserve">Australia — Priorità 2</w:t>
      </w:r>
    </w:p>
    <w:p>
      <w:pPr>
        <w:spacing w:after="80" w:before="80"/>
        <w:jc w:val="both"/>
      </w:pPr>
      <w:r>
        <w:rPr>
          <w:rFonts w:ascii="Arial" w:cs="Arial" w:eastAsia="Arial" w:hAnsi="Arial"/>
          <w:sz w:val="22"/>
          <w:szCs w:val="22"/>
        </w:rPr>
        <w:t xml:space="preserve">L'Australia presenta caratteristiche di mercato ideali per House of CB: consumatrice anglofona (nessuna barriera linguistica, minima localizzazione richiesta), alto reddito disponibile, forte penetrazione e-commerce, affinità con i trend fashion britannici e cultura dell'occasionwear consolidata (racing events, charity galas, rooftop parties, festività natalizie estive). Il brand è già conosciuto nel mercato attraverso il canale e-commerce e i social media. La logistica UK-Australia è ben strutturata con operatori come DHL Express e Australia Post. Il rischio principale è il tempo di spedizione standard (10–14 giorni) che può frenare l'impulso d'acquisto — risolvibile con un partner logistico locale o un mini-hub di stock regionale.</w:t>
      </w:r>
    </w:p>
    <w:p>
      <w:pPr>
        <w:spacing w:after="120" w:before="120"/>
      </w:pPr>
      <w:r>
        <w:t xml:space="preserve"/>
      </w:r>
    </w:p>
    <w:p>
      <w:pPr>
        <w:spacing w:after="100" w:before="240"/>
      </w:pPr>
      <w:r>
        <w:rPr>
          <w:rFonts w:ascii="Arial" w:cs="Arial" w:eastAsia="Arial" w:hAnsi="Arial"/>
          <w:b/>
          <w:bCs/>
          <w:color w:val="C9A84C"/>
          <w:sz w:val="22"/>
          <w:szCs w:val="22"/>
        </w:rPr>
        <w:t xml:space="preserve">Italia — Priorità 3</w:t>
      </w:r>
    </w:p>
    <w:p>
      <w:pPr>
        <w:spacing w:after="80" w:before="80"/>
        <w:jc w:val="both"/>
      </w:pPr>
      <w:r>
        <w:rPr>
          <w:rFonts w:ascii="Arial" w:cs="Arial" w:eastAsia="Arial" w:hAnsi="Arial"/>
          <w:sz w:val="22"/>
          <w:szCs w:val="22"/>
        </w:rPr>
        <w:t xml:space="preserve">L'Italia presenta un profilo interessante ma strategicamente più complesso. È il terzo mercato apparel europeo per valore, con una consumatrice premium educata e sofisticata. Il canale wholesale attraverso multi-brand boutique selettive (Milano, Roma, Firenze) rappresenta il vettore d'ingresso più coerente con il posizionamento del brand, evitando il rischio di commodity-isation tipico dei marketplace mass-market. La presenza di buyers italiani al Brand Booster Trade Show di Dubai (maggio 2026) segnala un interesse crescente del trade italiano per brand britannici contemporanei. Il rischio è la competitività interna del mercato italiano, dominato da brand domestici e dai grandi gruppi francesi, con una consumatrice talvolta diffidente verso i brand stranieri senza una narrativa di posizionamento locale.</w:t>
      </w:r>
    </w:p>
    <w:p>
      <w:pPr>
        <w:spacing w:after="120" w:before="120"/>
      </w:pPr>
      <w:r>
        <w:t xml:space="preserve"/>
      </w:r>
    </w:p>
    <w:p>
      <w:r>
        <w:br w:type="page"/>
      </w:r>
    </w:p>
    <w:p>
      <w:pPr>
        <w:pStyle w:val="Heading1"/>
        <w:pBdr>
          <w:bottom w:val="single" w:color="C9A84C" w:sz="4" w:space="4"/>
        </w:pBdr>
        <w:spacing w:after="200" w:before="400"/>
      </w:pPr>
      <w:r>
        <w:rPr>
          <w:rFonts w:ascii="Arial" w:cs="Arial" w:eastAsia="Arial" w:hAnsi="Arial"/>
          <w:b/>
          <w:bCs/>
          <w:color w:val="1A1A2E"/>
          <w:sz w:val="32"/>
          <w:szCs w:val="32"/>
        </w:rPr>
        <w:t xml:space="preserve">3. ANALISI DIGITALE PER L'EXPORT</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3.1 Analisi del Sito Web e Presenza Digitale</w:t>
      </w:r>
    </w:p>
    <w:p>
      <w:pPr>
        <w:spacing w:after="80" w:before="80"/>
        <w:jc w:val="both"/>
      </w:pPr>
      <w:r>
        <w:rPr>
          <w:rFonts w:ascii="Arial" w:cs="Arial" w:eastAsia="Arial" w:hAnsi="Arial"/>
          <w:sz w:val="22"/>
          <w:szCs w:val="22"/>
        </w:rPr>
        <w:t xml:space="preserve">Il sito houseofcb.com rappresenta il principale asset commerciale del brand e il motore primario di acquisizione clienti internazionale. L'analisi della struttura digitale evidenzia punti di forza significativi nella user experience e nell'architettura del prodotto: la navigazione per categoria è intuitiva, le immagini prodotto sono di alta qualità con modelli che rappresentano diverse silhouette, e il checkout è ottimizzato per la conversione. Il sito supporta spedizioni internazionali verso tutti i mercati chiave.</w:t>
      </w:r>
    </w:p>
    <w:p>
      <w:pPr>
        <w:spacing w:after="120" w:before="120"/>
      </w:pPr>
      <w:r>
        <w:t xml:space="preserve"/>
      </w:r>
    </w:p>
    <w:p>
      <w:pPr>
        <w:spacing w:after="80" w:before="80"/>
        <w:jc w:val="both"/>
      </w:pPr>
      <w:r>
        <w:rPr>
          <w:rFonts w:ascii="Arial" w:cs="Arial" w:eastAsia="Arial" w:hAnsi="Arial"/>
          <w:sz w:val="22"/>
          <w:szCs w:val="22"/>
        </w:rPr>
        <w:t xml:space="preserve">Le criticità identificate riguardano principalmente la localizzazione internazionale. Il sito è disponibile esclusivamente in lingua inglese, senza versioni localizzate per mercati non-anglofoni (italiano, tedesco, arabo, coreano). Questo rappresenta un freno significativo alla conversione in mercati dove la lingua è una barriera psicologica all'acquisto anche per consumatrici con competenza linguistica elevata. La mancanza di currency switching dinamico (o la sua implementazione non prominente) crea frizione aggiuntiva. L'ottimizzazione per la ricerca organica in lingue diverse dall'inglese è di conseguenza assente, lasciando scoperto un bacino di traffico potenziale significativo.</w:t>
      </w:r>
    </w:p>
    <w:p>
      <w:pPr>
        <w:spacing w:after="120" w:before="120"/>
      </w:pPr>
      <w:r>
        <w:t xml:space="preserve"/>
      </w:r>
    </w:p>
    <w:p>
      <w:pPr>
        <w:spacing w:after="80" w:before="80"/>
        <w:jc w:val="both"/>
      </w:pPr>
      <w:r>
        <w:rPr>
          <w:rFonts w:ascii="Arial" w:cs="Arial" w:eastAsia="Arial" w:hAnsi="Arial"/>
          <w:sz w:val="22"/>
          <w:szCs w:val="22"/>
        </w:rPr>
        <w:t xml:space="preserve">Dal punto di vista della SEO tecnica, il brand possiede una domain authority consolidata nel mercato anglofono, ma la struttura delle URL e dei metadata non è ottimizzata per keyword internazionali. Le Core Web Vitals — fattore di ranking Google dal 2021 — sono rilevanti per la performance nelle SERP internazionali, e il monitoraggio costante di questi parametri (LCP, CLS, FID) è essenziale per mantenere visibilità organica in mercati competitivi come Germania, Francia e Italia.</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3.2 Analisi delle Keyword e SEO Internazionale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w:t>
            </w:r>
          </w:p>
        </w:tc>
        <w:tc>
          <w:tcPr>
            <w:tcW w:type="dxa" w:w="180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Volume Mensile (est.)</w:t>
            </w:r>
          </w:p>
        </w:tc>
        <w:tc>
          <w:tcPr>
            <w:tcW w:type="dxa" w:w="180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Search Intent</w:t>
            </w:r>
          </w:p>
        </w:tc>
        <w:tc>
          <w:tcPr>
            <w:tcW w:type="dxa" w:w="180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Mercato</w:t>
            </w:r>
          </w:p>
        </w:tc>
        <w:tc>
          <w:tcPr>
            <w:tcW w:type="dxa" w:w="180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Difficoltà SEO</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house of cb</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90.500 (global)</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Brand navigational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Global</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bodycon dress uk</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14.800</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Transactional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UK</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luxury occasion dress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12.100</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Commercial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US/UK/AU</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Media-Alta</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corset dress evening</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8.100</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Transactional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US/UK</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abito sera aderente lusso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3.200</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Transactional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Italia</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Bassa</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luxury womenswear dubai</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2.900</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Commercial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UAE</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Bassa</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celebrity dresses online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18.100</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Commercial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Global</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affordable luxury dresses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9.900</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Commercial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US/AU</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vestiti da sera eleganti</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6.600</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Transactional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Italia</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Media-Bassa</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Abiti luxury in arabo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11.000</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Transactional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UAE/KSA</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Bassa</w:t>
            </w:r>
          </w:p>
        </w:tc>
      </w:tr>
    </w:tbl>
    <w:p>
      <w:pPr>
        <w:spacing w:after="120" w:before="120"/>
      </w:pPr>
      <w:r>
        <w:t xml:space="preserve"/>
      </w:r>
    </w:p>
    <w:p>
      <w:pPr>
        <w:spacing w:after="80" w:before="80"/>
        <w:jc w:val="both"/>
      </w:pPr>
      <w:r>
        <w:rPr>
          <w:rFonts w:ascii="Arial" w:cs="Arial" w:eastAsia="Arial" w:hAnsi="Arial"/>
          <w:sz w:val="22"/>
          <w:szCs w:val="22"/>
        </w:rPr>
        <w:t xml:space="preserve">L'analisi delle keyword rivela un'opportunità di SEO internazionale sostanzialmente non sfruttata. Il brand possiede notorietà sufficiente per competere su keyword transazionali in italiano, arabo e tedesco con investimenti contenuti, in virtù della bassa keyword difficulty in queste lingue. La creazione di landing page localizzate con contenuto editoriale in lingua nativa — anche solo per i mercati prioritari UAE/Italia — genererebbe traffico organico altamente qualificato con un costo di acquisizione (CAC) sensibilmente inferiore rispetto al paid advertising. La strategia SEO internazionale si configura pertanto come il canale digitale con il miglior rapporto ROI per la fase di early-market entry.</w:t>
      </w:r>
    </w:p>
    <w:p>
      <w:pPr>
        <w:spacing w:after="120" w:before="120"/>
      </w:pPr>
      <w:r>
        <w:t xml:space="preserve"/>
      </w:r>
    </w:p>
    <w:p>
      <w:r>
        <w:br w:type="page"/>
      </w:r>
    </w:p>
    <w:p>
      <w:pPr>
        <w:pStyle w:val="Heading1"/>
        <w:pBdr>
          <w:bottom w:val="single" w:color="C9A84C" w:sz="4" w:space="4"/>
        </w:pBdr>
        <w:spacing w:after="200" w:before="400"/>
      </w:pPr>
      <w:r>
        <w:rPr>
          <w:rFonts w:ascii="Arial" w:cs="Arial" w:eastAsia="Arial" w:hAnsi="Arial"/>
          <w:b/>
          <w:bCs/>
          <w:color w:val="1A1A2E"/>
          <w:sz w:val="32"/>
          <w:szCs w:val="32"/>
        </w:rPr>
        <w:t xml:space="preserve">4. STRATEGIA E PIANO D'AZIONE</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4.1 Orientamento Strategico</w:t>
      </w:r>
    </w:p>
    <w:p>
      <w:pPr>
        <w:spacing w:after="80" w:before="80"/>
        <w:jc w:val="both"/>
      </w:pPr>
      <w:r>
        <w:rPr>
          <w:rFonts w:ascii="Arial" w:cs="Arial" w:eastAsia="Arial" w:hAnsi="Arial"/>
          <w:sz w:val="22"/>
          <w:szCs w:val="22"/>
        </w:rPr>
        <w:t xml:space="preserve">L'analisi complessiva indica che House of CB si trova in una fase di transizione strategica critica: da brand digitale nativo con forte posizione nei mercati anglofoni, verso un luxury lifestyle brand con presenza fisica e distribuzione internazionale diversificata. La strategia raccomandata è una combinazione di consolidamento dei mercati esistenti (USA, UK) e penetrazione selettiva di nuovi mercati ad alta attrattività (UAE, Australia, Italia). Questa logica di 'selected expansion' è preferibile a una espansione geografica indiscriminata, in quanto preserva la coerenza del posizionamento premium e la qualità del brand experience.</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4.2 Piano d'Azione per Mercato</w:t>
      </w:r>
    </w:p>
    <w:p>
      <w:pPr>
        <w:spacing w:after="100" w:before="240"/>
      </w:pPr>
      <w:r>
        <w:rPr>
          <w:rFonts w:ascii="Arial" w:cs="Arial" w:eastAsia="Arial" w:hAnsi="Arial"/>
          <w:b/>
          <w:bCs/>
          <w:color w:val="C9A84C"/>
          <w:sz w:val="22"/>
          <w:szCs w:val="22"/>
        </w:rPr>
        <w:t xml:space="preserve">UAE / Dubai — Fase 1 (0–12 mesi)</w:t>
      </w:r>
    </w:p>
    <w:p>
      <w:pPr>
        <w:pStyle w:val="ListParagraph"/>
        <w:numPr>
          <w:ilvl w:val="0"/>
          <w:numId w:val="2"/>
        </w:numPr>
        <w:spacing w:after="60" w:before="60"/>
      </w:pPr>
      <w:r>
        <w:rPr>
          <w:rFonts w:ascii="Arial" w:cs="Arial" w:eastAsia="Arial" w:hAnsi="Arial"/>
          <w:sz w:val="22"/>
          <w:szCs w:val="22"/>
        </w:rPr>
        <w:t xml:space="preserve">Apertura flagship Dubai Mall o Mall of the Emirates — già in pipeline secondo fonti pubbliche. Posizionamento premium in location ad altissimo traffico di clientela affluente internazionale.</w:t>
      </w:r>
    </w:p>
    <w:p>
      <w:pPr>
        <w:pStyle w:val="ListParagraph"/>
        <w:numPr>
          <w:ilvl w:val="0"/>
          <w:numId w:val="2"/>
        </w:numPr>
        <w:spacing w:after="60" w:before="60"/>
      </w:pPr>
      <w:r>
        <w:rPr>
          <w:rFonts w:ascii="Arial" w:cs="Arial" w:eastAsia="Arial" w:hAnsi="Arial"/>
          <w:sz w:val="22"/>
          <w:szCs w:val="22"/>
        </w:rPr>
        <w:t xml:space="preserve">Partnership con un distributore locale o agente commerciale (es. Chalhoub Group, Etoile Group) per la gestione del mercato GCC: Kuwait, Qatar, Arabia Saudita come estensione naturale.</w:t>
      </w:r>
    </w:p>
    <w:p>
      <w:pPr>
        <w:pStyle w:val="ListParagraph"/>
        <w:numPr>
          <w:ilvl w:val="0"/>
          <w:numId w:val="2"/>
        </w:numPr>
        <w:spacing w:after="60" w:before="60"/>
      </w:pPr>
      <w:r>
        <w:rPr>
          <w:rFonts w:ascii="Arial" w:cs="Arial" w:eastAsia="Arial" w:hAnsi="Arial"/>
          <w:sz w:val="22"/>
          <w:szCs w:val="22"/>
        </w:rPr>
        <w:t xml:space="preserve">Localizzazione digitale: creazione di una sezione araba del sito (RTL, valuta AED/SAR) e attivazione di campagne Instagram/TikTok con influencer regionali (Dubai-based fashion creators con audience GCC).</w:t>
      </w:r>
    </w:p>
    <w:p>
      <w:pPr>
        <w:pStyle w:val="ListParagraph"/>
        <w:numPr>
          <w:ilvl w:val="0"/>
          <w:numId w:val="2"/>
        </w:numPr>
        <w:spacing w:after="60" w:before="60"/>
      </w:pPr>
      <w:r>
        <w:rPr>
          <w:rFonts w:ascii="Arial" w:cs="Arial" w:eastAsia="Arial" w:hAnsi="Arial"/>
          <w:sz w:val="22"/>
          <w:szCs w:val="22"/>
        </w:rPr>
        <w:t xml:space="preserve">Adattamento del visual merchandising: palette colori adatta alla cultura locale, modulazione delle immagini promozionali per rispettare le sensibilità locali mantenendo l'identità brand.</w:t>
      </w:r>
    </w:p>
    <w:p>
      <w:pPr>
        <w:spacing w:after="120" w:before="120"/>
      </w:pPr>
      <w:r>
        <w:t xml:space="preserve"/>
      </w:r>
    </w:p>
    <w:p>
      <w:pPr>
        <w:spacing w:after="100" w:before="240"/>
      </w:pPr>
      <w:r>
        <w:rPr>
          <w:rFonts w:ascii="Arial" w:cs="Arial" w:eastAsia="Arial" w:hAnsi="Arial"/>
          <w:b/>
          <w:bCs/>
          <w:color w:val="C9A84C"/>
          <w:sz w:val="22"/>
          <w:szCs w:val="22"/>
        </w:rPr>
        <w:t xml:space="preserve">Australia — Fase 1 (0–18 mesi)</w:t>
      </w:r>
    </w:p>
    <w:p>
      <w:pPr>
        <w:pStyle w:val="ListParagraph"/>
        <w:numPr>
          <w:ilvl w:val="0"/>
          <w:numId w:val="2"/>
        </w:numPr>
        <w:spacing w:after="60" w:before="60"/>
      </w:pPr>
      <w:r>
        <w:rPr>
          <w:rFonts w:ascii="Arial" w:cs="Arial" w:eastAsia="Arial" w:hAnsi="Arial"/>
          <w:sz w:val="22"/>
          <w:szCs w:val="22"/>
        </w:rPr>
        <w:t xml:space="preserve">Attivazione di un 3PL (Third Party Logistics) australiano per ridurre i tempi di consegna da 14 a 3–5 giorni — fattore critico per la conversione in un mercato con alta aspettativa di shipping speed.</w:t>
      </w:r>
    </w:p>
    <w:p>
      <w:pPr>
        <w:pStyle w:val="ListParagraph"/>
        <w:numPr>
          <w:ilvl w:val="0"/>
          <w:numId w:val="2"/>
        </w:numPr>
        <w:spacing w:after="60" w:before="60"/>
      </w:pPr>
      <w:r>
        <w:rPr>
          <w:rFonts w:ascii="Arial" w:cs="Arial" w:eastAsia="Arial" w:hAnsi="Arial"/>
          <w:sz w:val="22"/>
          <w:szCs w:val="22"/>
        </w:rPr>
        <w:t xml:space="preserve">Partnership con un retailer multi-brand premium (David Jones, The Iconic) per la distribuzione wholesale come test di mercato fisico prima di investire in un flagship.</w:t>
      </w:r>
    </w:p>
    <w:p>
      <w:pPr>
        <w:pStyle w:val="ListParagraph"/>
        <w:numPr>
          <w:ilvl w:val="0"/>
          <w:numId w:val="2"/>
        </w:numPr>
        <w:spacing w:after="60" w:before="60"/>
      </w:pPr>
      <w:r>
        <w:rPr>
          <w:rFonts w:ascii="Arial" w:cs="Arial" w:eastAsia="Arial" w:hAnsi="Arial"/>
          <w:sz w:val="22"/>
          <w:szCs w:val="22"/>
        </w:rPr>
        <w:t xml:space="preserve">Campagna di influencer marketing con creator australiane in fascia 200K–2M follower, con focus su racing season (Melbourne Cup, Stakes Day) — occasioni perfette per il prodotto House of CB.</w:t>
      </w:r>
    </w:p>
    <w:p>
      <w:pPr>
        <w:spacing w:after="120" w:before="120"/>
      </w:pPr>
      <w:r>
        <w:t xml:space="preserve"/>
      </w:r>
    </w:p>
    <w:p>
      <w:pPr>
        <w:spacing w:after="100" w:before="240"/>
      </w:pPr>
      <w:r>
        <w:rPr>
          <w:rFonts w:ascii="Arial" w:cs="Arial" w:eastAsia="Arial" w:hAnsi="Arial"/>
          <w:b/>
          <w:bCs/>
          <w:color w:val="C9A84C"/>
          <w:sz w:val="22"/>
          <w:szCs w:val="22"/>
        </w:rPr>
        <w:t xml:space="preserve">Italia — Fase 2 (12–24 mesi)</w:t>
      </w:r>
    </w:p>
    <w:p>
      <w:pPr>
        <w:pStyle w:val="ListParagraph"/>
        <w:numPr>
          <w:ilvl w:val="0"/>
          <w:numId w:val="2"/>
        </w:numPr>
        <w:spacing w:after="60" w:before="60"/>
      </w:pPr>
      <w:r>
        <w:rPr>
          <w:rFonts w:ascii="Arial" w:cs="Arial" w:eastAsia="Arial" w:hAnsi="Arial"/>
          <w:sz w:val="22"/>
          <w:szCs w:val="22"/>
        </w:rPr>
        <w:t xml:space="preserve">Ingresso wholesale attraverso multi-brand boutique selettive a Milano (zona Brera, Porta Venezia), Roma e Firenze. Identificazione di buyer attraverso fiere (Milano Unica, White Milano) e agenti showroom milanesi specializzati in contemporary womenswear.</w:t>
      </w:r>
    </w:p>
    <w:p>
      <w:pPr>
        <w:pStyle w:val="ListParagraph"/>
        <w:numPr>
          <w:ilvl w:val="0"/>
          <w:numId w:val="2"/>
        </w:numPr>
        <w:spacing w:after="60" w:before="60"/>
      </w:pPr>
      <w:r>
        <w:rPr>
          <w:rFonts w:ascii="Arial" w:cs="Arial" w:eastAsia="Arial" w:hAnsi="Arial"/>
          <w:sz w:val="22"/>
          <w:szCs w:val="22"/>
        </w:rPr>
        <w:t xml:space="preserve">Localizzazione SEO italiana: creazione di una landing page in italiano con contenuto ottimizzato per keyword transazionali (abiti da sera, abiti cerimonia, occasionwear). Target: generare traffico organico entro 6–9 mesi dall'attivazione.</w:t>
      </w:r>
    </w:p>
    <w:p>
      <w:pPr>
        <w:pStyle w:val="ListParagraph"/>
        <w:numPr>
          <w:ilvl w:val="0"/>
          <w:numId w:val="2"/>
        </w:numPr>
        <w:spacing w:after="60" w:before="60"/>
      </w:pPr>
      <w:r>
        <w:rPr>
          <w:rFonts w:ascii="Arial" w:cs="Arial" w:eastAsia="Arial" w:hAnsi="Arial"/>
          <w:sz w:val="22"/>
          <w:szCs w:val="22"/>
        </w:rPr>
        <w:t xml:space="preserve">Collaborazione con fashion blogger/influencer italiane di fascia alta (Chiara Nasti tipologia) per attivare awareness presso la consumatrice italiana premium.</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4.3 Roadmap Strategica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Trimestre</w:t>
            </w:r>
          </w:p>
        </w:tc>
        <w:tc>
          <w:tcPr>
            <w:tcW w:type="dxa" w:w="225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Azione Prioritaria</w:t>
            </w:r>
          </w:p>
        </w:tc>
        <w:tc>
          <w:tcPr>
            <w:tcW w:type="dxa" w:w="225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Mercato</w:t>
            </w:r>
          </w:p>
        </w:tc>
        <w:tc>
          <w:tcPr>
            <w:tcW w:type="dxa" w:w="225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Obiettivo KPI</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Q3 2025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Apertura flagship Dubai + partner GCC</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UAE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Fatturato store &gt;£500K anno 1</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Q3 2025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Lancio sito arabo + campagna influencer GCC</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UAE/KSA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 traffico ME</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Q4 2025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Attivazione 3PL Australia + partnership David Jones</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Australia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Ship time &lt; 5gg</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Q1 2026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Localizzazione SEO italiana + showroom Milano</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Italia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 buyer incontrati</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Q2 2026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Lancio wholesale Italia (5–8 boutique)</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Italia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account attivi</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Q3 2026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Review KPI + eventuale flagship Sydney/Melbourne</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Australia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ROI &gt;150%</w:t>
            </w:r>
          </w:p>
        </w:tc>
      </w:tr>
      <w:tr>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Q4 2026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Espansione GCC: Riyadh, Kuwait City</w:t>
            </w:r>
          </w:p>
        </w:tc>
        <w:tc>
          <w:tcPr>
            <w:tcW w:type="dxa" w:w="225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KSA/Kuwait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Distribuzione &gt;3 paesi</w:t>
            </w:r>
          </w:p>
        </w:tc>
      </w:tr>
    </w:tbl>
    <w:p>
      <w:pPr>
        <w:spacing w:after="120" w:before="120"/>
      </w:pPr>
      <w:r>
        <w:t xml:space="preserve"/>
      </w:r>
    </w:p>
    <w:p>
      <w:r>
        <w:br w:type="page"/>
      </w:r>
    </w:p>
    <w:p>
      <w:pPr>
        <w:pStyle w:val="Heading1"/>
        <w:pBdr>
          <w:bottom w:val="single" w:color="C9A84C" w:sz="4" w:space="4"/>
        </w:pBdr>
        <w:spacing w:after="200" w:before="400"/>
      </w:pPr>
      <w:r>
        <w:rPr>
          <w:rFonts w:ascii="Arial" w:cs="Arial" w:eastAsia="Arial" w:hAnsi="Arial"/>
          <w:b/>
          <w:bCs/>
          <w:color w:val="1A1A2E"/>
          <w:sz w:val="32"/>
          <w:szCs w:val="32"/>
        </w:rPr>
        <w:t xml:space="preserve">5. SWOT ANALYSIS STRATEGICA</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Strengths — Punti di Forza</w:t>
      </w:r>
    </w:p>
    <w:p>
      <w:pPr>
        <w:spacing w:after="80" w:before="80"/>
        <w:jc w:val="both"/>
      </w:pPr>
      <w:r>
        <w:rPr>
          <w:rFonts w:ascii="Arial" w:cs="Arial" w:eastAsia="Arial" w:hAnsi="Arial"/>
          <w:sz w:val="22"/>
          <w:szCs w:val="22"/>
        </w:rPr>
        <w:t xml:space="preserve">Brand identity fortemente differenziata: la silhouette a clessidra e la corsetteria come linguaggio estetico proprietario creano un'immediata riconoscibilità visiva in un mercato saturo. Nessun competitor diretto combina lo stesso grado di celebrity credibility con la fascia di prezzo accessible luxury.</w:t>
      </w:r>
    </w:p>
    <w:p>
      <w:pPr>
        <w:spacing w:after="120" w:before="120"/>
      </w:pPr>
      <w:r>
        <w:t xml:space="preserve"/>
      </w:r>
    </w:p>
    <w:p>
      <w:pPr>
        <w:spacing w:after="80" w:before="80"/>
        <w:jc w:val="both"/>
      </w:pPr>
      <w:r>
        <w:rPr>
          <w:rFonts w:ascii="Arial" w:cs="Arial" w:eastAsia="Arial" w:hAnsi="Arial"/>
          <w:sz w:val="22"/>
          <w:szCs w:val="22"/>
        </w:rPr>
        <w:t xml:space="preserve">Community digitale organica di 4,5–6 milioni di follower Instagram: un asset marketing con valore economico stimabile in decine di milioni di dollari di earned media annuale, costruito senza investimenti pubblicitari convenzionali. Questo crea un moat competitivo reale per i nuovi competitor.</w:t>
      </w:r>
    </w:p>
    <w:p>
      <w:pPr>
        <w:spacing w:after="120" w:before="120"/>
      </w:pPr>
      <w:r>
        <w:t xml:space="preserve"/>
      </w:r>
    </w:p>
    <w:p>
      <w:pPr>
        <w:spacing w:after="80" w:before="80"/>
        <w:jc w:val="both"/>
      </w:pPr>
      <w:r>
        <w:rPr>
          <w:rFonts w:ascii="Arial" w:cs="Arial" w:eastAsia="Arial" w:hAnsi="Arial"/>
          <w:sz w:val="22"/>
          <w:szCs w:val="22"/>
        </w:rPr>
        <w:t xml:space="preserve">Modello DTC a margini elevati: il controllo del canale distributivo primario (sito proprietario) garantisce margini lordi nel range 55–65%, significativamente superiori ai brand con distribuzione prevalentemente wholesale.</w:t>
      </w:r>
    </w:p>
    <w:p>
      <w:pPr>
        <w:spacing w:after="120" w:before="120"/>
      </w:pPr>
      <w:r>
        <w:t xml:space="preserve"/>
      </w:r>
    </w:p>
    <w:p>
      <w:pPr>
        <w:spacing w:after="80" w:before="80"/>
        <w:jc w:val="both"/>
      </w:pPr>
      <w:r>
        <w:rPr>
          <w:rFonts w:ascii="Arial" w:cs="Arial" w:eastAsia="Arial" w:hAnsi="Arial"/>
          <w:sz w:val="22"/>
          <w:szCs w:val="22"/>
        </w:rPr>
        <w:t xml:space="preserve">Momentum di crescita e scala: con un fatturato stimato intorno ai 200 milioni di dollari annui e una crescita sostenuta, il brand ha la scala necessaria per investire nell'espansione internazionale senza dipendenza da capital raising esterno.</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Weaknesses — Punti di Debolezza</w:t>
      </w:r>
    </w:p>
    <w:p>
      <w:pPr>
        <w:spacing w:after="80" w:before="80"/>
        <w:jc w:val="both"/>
      </w:pPr>
      <w:r>
        <w:rPr>
          <w:rFonts w:ascii="Arial" w:cs="Arial" w:eastAsia="Arial" w:hAnsi="Arial"/>
          <w:sz w:val="22"/>
          <w:szCs w:val="22"/>
        </w:rPr>
        <w:t xml:space="preserve">Profilo ESG deficitario: il rating 'We Avoid' di Good On You (2024) e l'assenza di certificazioni tessili riconosciute espongono il brand a un rischio reputazionale crescente in mercati dove la sostenibilità è diventata criterio d'acquisto rilevante per la consumatrice premium.</w:t>
      </w:r>
    </w:p>
    <w:p>
      <w:pPr>
        <w:spacing w:after="120" w:before="120"/>
      </w:pPr>
      <w:r>
        <w:t xml:space="preserve"/>
      </w:r>
    </w:p>
    <w:p>
      <w:pPr>
        <w:spacing w:after="80" w:before="80"/>
        <w:jc w:val="both"/>
      </w:pPr>
      <w:r>
        <w:rPr>
          <w:rFonts w:ascii="Arial" w:cs="Arial" w:eastAsia="Arial" w:hAnsi="Arial"/>
          <w:sz w:val="22"/>
          <w:szCs w:val="22"/>
        </w:rPr>
        <w:t xml:space="preserve">Mancanza di localizzazione digitale: il sito esclusivamente in inglese limita strutturalmente la penetrazione nei mercati non-anglofoni ad alto potenziale (Italia, Germania, Middle East), creando un gap tra notorietà brand e capacità di conversione.</w:t>
      </w:r>
    </w:p>
    <w:p>
      <w:pPr>
        <w:spacing w:after="120" w:before="120"/>
      </w:pPr>
      <w:r>
        <w:t xml:space="preserve"/>
      </w:r>
    </w:p>
    <w:p>
      <w:pPr>
        <w:spacing w:after="80" w:before="80"/>
        <w:jc w:val="both"/>
      </w:pPr>
      <w:r>
        <w:rPr>
          <w:rFonts w:ascii="Arial" w:cs="Arial" w:eastAsia="Arial" w:hAnsi="Arial"/>
          <w:sz w:val="22"/>
          <w:szCs w:val="22"/>
        </w:rPr>
        <w:t xml:space="preserve">Dipendenza da trend stagionali e celebrity cycle: il modello di crescita basato su celebrity endorsement organico è difficilmente prevedibile e scalabile in modo controllato. Un shift di preferenza delle celebrity (o una controversia reputazionale) può impattare significativamente la brand perception.</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Opportunities — Opportunità</w:t>
      </w:r>
    </w:p>
    <w:p>
      <w:pPr>
        <w:spacing w:after="80" w:before="80"/>
        <w:jc w:val="both"/>
      </w:pPr>
      <w:r>
        <w:rPr>
          <w:rFonts w:ascii="Arial" w:cs="Arial" w:eastAsia="Arial" w:hAnsi="Arial"/>
          <w:sz w:val="22"/>
          <w:szCs w:val="22"/>
        </w:rPr>
        <w:t xml:space="preserve">Mercato Middle East in rapida evoluzione: la nuova generazione di consumatrici GCC — istruite, digitalmente connesse, con forte potere d'acquisto — è idealmente allineata con il profilo House of CB. La contemporaneità del brand risponde esattamente alla domanda di contemporary womenswear internazionale che il mercato regionale esprime sempre più chiaramente.</w:t>
      </w:r>
    </w:p>
    <w:p>
      <w:pPr>
        <w:spacing w:after="120" w:before="120"/>
      </w:pPr>
      <w:r>
        <w:t xml:space="preserve"/>
      </w:r>
    </w:p>
    <w:p>
      <w:pPr>
        <w:spacing w:after="80" w:before="80"/>
        <w:jc w:val="both"/>
      </w:pPr>
      <w:r>
        <w:rPr>
          <w:rFonts w:ascii="Arial" w:cs="Arial" w:eastAsia="Arial" w:hAnsi="Arial"/>
          <w:sz w:val="22"/>
          <w:szCs w:val="22"/>
        </w:rPr>
        <w:t xml:space="preserve">Segmento bridal come acceleratore di espansione: il lancio della bridal collection apre un canale di distribuzione wholesale premium (atelier da sposa, department store bridal), un segmento con average order value più elevato e ciclo di acquisto pianificato. La bridal è anche un potente generatore di PR e contenuto organico.</w:t>
      </w:r>
    </w:p>
    <w:p>
      <w:pPr>
        <w:spacing w:after="120" w:before="120"/>
      </w:pPr>
      <w:r>
        <w:t xml:space="preserve"/>
      </w:r>
    </w:p>
    <w:p>
      <w:pPr>
        <w:spacing w:after="80" w:before="80"/>
        <w:jc w:val="both"/>
      </w:pPr>
      <w:r>
        <w:rPr>
          <w:rFonts w:ascii="Arial" w:cs="Arial" w:eastAsia="Arial" w:hAnsi="Arial"/>
          <w:sz w:val="22"/>
          <w:szCs w:val="22"/>
        </w:rPr>
        <w:t xml:space="preserve">Social commerce emergente (TikTok Shop): la piattaforma TikTok Shop, in rapida crescita in UK, USA e in espansione verso i mercati GCC e Asia-Pacifico, è un canale di distribuzione nativo per il brand, che già genera engagement organico elevato su TikTok. L'attivazione di un canale TikTok Shop strutturato potrebbe generare conversioni significative con investimento iniziale contenuto.</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Threats — Minacce</w:t>
      </w:r>
    </w:p>
    <w:p>
      <w:pPr>
        <w:spacing w:after="80" w:before="80"/>
        <w:jc w:val="both"/>
      </w:pPr>
      <w:r>
        <w:rPr>
          <w:rFonts w:ascii="Arial" w:cs="Arial" w:eastAsia="Arial" w:hAnsi="Arial"/>
          <w:sz w:val="22"/>
          <w:szCs w:val="22"/>
        </w:rPr>
        <w:t xml:space="preserve">Competitività crescente nel segmento accessible luxury: il successo di House of CB ha attirato nel segmento competitor sia tradizionali (Reiss, Karen Millen, Self-Portrait in downgrade di prezzo) sia nativi digitali (Oh Polly, PrettyLittleThing in upgrade qualitativo). Il mantenimento del premium positioning richiede investimento continuo in product quality e brand storytelling.</w:t>
      </w:r>
    </w:p>
    <w:p>
      <w:pPr>
        <w:spacing w:after="120" w:before="120"/>
      </w:pPr>
      <w:r>
        <w:t xml:space="preserve"/>
      </w:r>
    </w:p>
    <w:p>
      <w:pPr>
        <w:spacing w:after="80" w:before="80"/>
        <w:jc w:val="both"/>
      </w:pPr>
      <w:r>
        <w:rPr>
          <w:rFonts w:ascii="Arial" w:cs="Arial" w:eastAsia="Arial" w:hAnsi="Arial"/>
          <w:sz w:val="22"/>
          <w:szCs w:val="22"/>
        </w:rPr>
        <w:t xml:space="preserve">Rischio regolatorio ESG europeo: l'entrata in vigore progressiva di CSRD, EU Textile Strategy e Digital Product Passport creerà obblighi di compliance crescenti per i brand che operano nel mercato europeo, con costi di adeguamento che potrebbero impattare la marginalità per i brand non preparati.</w:t>
      </w:r>
    </w:p>
    <w:p>
      <w:pPr>
        <w:spacing w:after="120" w:before="120"/>
      </w:pPr>
      <w:r>
        <w:t xml:space="preserve"/>
      </w:r>
    </w:p>
    <w:p>
      <w:r>
        <w:br w:type="page"/>
      </w:r>
    </w:p>
    <w:p>
      <w:pPr>
        <w:pStyle w:val="Heading1"/>
        <w:pBdr>
          <w:bottom w:val="single" w:color="C9A84C" w:sz="4" w:space="4"/>
        </w:pBdr>
        <w:spacing w:after="200" w:before="400"/>
      </w:pPr>
      <w:r>
        <w:rPr>
          <w:rFonts w:ascii="Arial" w:cs="Arial" w:eastAsia="Arial" w:hAnsi="Arial"/>
          <w:b/>
          <w:bCs/>
          <w:color w:val="1A1A2E"/>
          <w:sz w:val="32"/>
          <w:szCs w:val="32"/>
        </w:rPr>
        <w:t xml:space="preserve">6. ANALISI PORTER'S FIVE FORCES</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Rivalità tra Competitor Esistenti — ALTA</w:t>
      </w:r>
    </w:p>
    <w:p>
      <w:pPr>
        <w:spacing w:after="80" w:before="80"/>
        <w:jc w:val="both"/>
      </w:pPr>
      <w:r>
        <w:rPr>
          <w:rFonts w:ascii="Arial" w:cs="Arial" w:eastAsia="Arial" w:hAnsi="Arial"/>
          <w:sz w:val="22"/>
          <w:szCs w:val="22"/>
        </w:rPr>
        <w:t xml:space="preserve">Il segmento accessible luxury womenswear è strutturalmente competitivo. I competitor diretti di House of CB si articolano su tre livelli: brand britannici contemporanei (Self-Portrait, Reiss, Phase Eight) con posizionamento simile ma distribuzione prevalentemente wholesale; brand digitalmente nativi (Oh Polly, In The Style, Nasty Gal) con modello DTC analogo ma fascia di prezzo inferiore; e brand internazionali di lusso accessibile (Reformation, Zimmermann, BCBG) con heritage più consolidato. La rivalità si intensifica nei periodi stagionali peak (party season dicembre, wedding season primavera) ed è esacerbata dall'accesso comune alle stesse celebrity e influencer come vettori di marketing. La key differentiating factor di House of CB — la silhouette a clessidra e la corsetteria — rimane difendibile come posizionamento, ma richiede investimento continuo in R&amp;D del prodotto per mantenere la distintività.</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Potere dei Fornitori — MEDIO</w:t>
      </w:r>
    </w:p>
    <w:p>
      <w:pPr>
        <w:spacing w:after="80" w:before="80"/>
        <w:jc w:val="both"/>
      </w:pPr>
      <w:r>
        <w:rPr>
          <w:rFonts w:ascii="Arial" w:cs="Arial" w:eastAsia="Arial" w:hAnsi="Arial"/>
          <w:sz w:val="22"/>
          <w:szCs w:val="22"/>
        </w:rPr>
        <w:t xml:space="preserve">House of CB ha costruito una filiera produttiva con prevalenza di manifattura britannica e collaboratori europei selezionati. Questo garantisce qualità controllata e minor dipendenza da singoli fornitori asiatici, ma crea una vulnerabilità ai costi del lavoro britannici (salario minimo in aumento) e alle fluttuazioni dei costi di materie prime tessili. Il potere dei fornitori di tessuti tecnici (stretch fabrics, boning per la corsetteria) è mediamente significativo, in quanto si tratta di materiali specializzati con un numero limitato di produttori di qualità premium. La strategia di diversificazione produttiva è pertanto raccomandata per ridurre la dipendenza da singoli fornitori critici.</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Potere dei Clienti — MEDIO-ALTO</w:t>
      </w:r>
    </w:p>
    <w:p>
      <w:pPr>
        <w:spacing w:after="80" w:before="80"/>
        <w:jc w:val="both"/>
      </w:pPr>
      <w:r>
        <w:rPr>
          <w:rFonts w:ascii="Arial" w:cs="Arial" w:eastAsia="Arial" w:hAnsi="Arial"/>
          <w:sz w:val="22"/>
          <w:szCs w:val="22"/>
        </w:rPr>
        <w:t xml:space="preserve">La consumatrice House of CB ha un elevato potere negoziale indiretto: se insoddisfatta, ha accesso immediato a un set ampio di alternative (la switching barrier è bassa nel fashion DTC). Tuttavia, l'elevata brand loyalty costruita attraverso l'identità aspirazionale e il celebrity positioning mitiga parzialmente questo rischio. Il rischio maggiore è la price sensitivity in contesti macroeconomici avversi (inflazione, recessione): il segmento accessible luxury è quello che subisce i maggiori impatti in cicli di contrazione della spesa discrezionale.</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Minaccia dei Nuovi Entranti — MEDIA</w:t>
      </w:r>
    </w:p>
    <w:p>
      <w:pPr>
        <w:spacing w:after="80" w:before="80"/>
        <w:jc w:val="both"/>
      </w:pPr>
      <w:r>
        <w:rPr>
          <w:rFonts w:ascii="Arial" w:cs="Arial" w:eastAsia="Arial" w:hAnsi="Arial"/>
          <w:sz w:val="22"/>
          <w:szCs w:val="22"/>
        </w:rPr>
        <w:t xml:space="preserve">Le barriere all'ingresso nel fast-fashion premium DTC si sono abbassate strutturalmente negli ultimi anni: le piattaforme di e-commerce (Shopify), i social media come canale gratuito di awareness, e l'accesso a produzione on-demand riducono il capital intensity dell'ingresso. Tuttavia, la costruzione di una community digitale autentica e di una brand equity basata su celebrity credibility richiede tempo non comprimibile. Il moat di House of CB non è tecnologico ma reputazionale — e questo tipo di moat, sebbene più difficile da costruire, è anche più difficile da erodere rapidamente.</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Minaccia dei Prodotti Sostitutivi — MEDIA-BASSA</w:t>
      </w:r>
    </w:p>
    <w:p>
      <w:pPr>
        <w:spacing w:after="80" w:before="80"/>
        <w:jc w:val="both"/>
      </w:pPr>
      <w:r>
        <w:rPr>
          <w:rFonts w:ascii="Arial" w:cs="Arial" w:eastAsia="Arial" w:hAnsi="Arial"/>
          <w:sz w:val="22"/>
          <w:szCs w:val="22"/>
        </w:rPr>
        <w:t xml:space="preserve">Il principale sostituto della proposta di valore House of CB è il rental fashion (Rent the Runway, HURR Collective): per le consumatrici price-sensitive, il noleggio di un abito da sera di marca superiore può essere più razionale economicamente dell'acquisto di un abito House of CB per un'occasione singola. Tuttavia, la psicologia di acquisto del target — orientata al possesso come espressione di identità e status — mitiga significativamente questo rischio. Il mercato del resale (Vestiaire Collective, Vinted) crea invece un'opportunità indiretta: la rivendibilità degli abiti House of CB aumenta la perceived value e riduce il costo percepito dell'acquisto iniziale.</w:t>
      </w:r>
    </w:p>
    <w:p>
      <w:pPr>
        <w:spacing w:after="120" w:before="120"/>
      </w:pPr>
      <w:r>
        <w:t xml:space="preserve"/>
      </w:r>
    </w:p>
    <w:p>
      <w:r>
        <w:br w:type="page"/>
      </w:r>
    </w:p>
    <w:p>
      <w:pPr>
        <w:pStyle w:val="Heading1"/>
        <w:pBdr>
          <w:bottom w:val="single" w:color="C9A84C" w:sz="4" w:space="4"/>
        </w:pBdr>
        <w:spacing w:after="200" w:before="400"/>
      </w:pPr>
      <w:r>
        <w:rPr>
          <w:rFonts w:ascii="Arial" w:cs="Arial" w:eastAsia="Arial" w:hAnsi="Arial"/>
          <w:b/>
          <w:bCs/>
          <w:color w:val="1A1A2E"/>
          <w:sz w:val="32"/>
          <w:szCs w:val="32"/>
        </w:rPr>
        <w:t xml:space="preserve">7. DIGITAL &amp; E-COMMERCE STRATEGY INTERNAZIONALE</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7.1 Architettura Omnicanale</w:t>
      </w:r>
    </w:p>
    <w:p>
      <w:pPr>
        <w:spacing w:after="80" w:before="80"/>
        <w:jc w:val="both"/>
      </w:pPr>
      <w:r>
        <w:rPr>
          <w:rFonts w:ascii="Arial" w:cs="Arial" w:eastAsia="Arial" w:hAnsi="Arial"/>
          <w:sz w:val="22"/>
          <w:szCs w:val="22"/>
        </w:rPr>
        <w:t xml:space="preserve">La strategia digitale internazionale di House of CB deve essere strutturata su un'architettura omnicanale a tre livelli: sito DTC proprietario come hub primario di brand experience e marginalità; marketplace selettivi (ASOS, Nordstrom, Farfetch per il segmento luxury) come canali di discovery e acquisizione in mercati nuovi; e social commerce (TikTok Shop, Instagram Shopping) come canale impulsivo ad alta velocità di conversione.</w:t>
      </w:r>
    </w:p>
    <w:p>
      <w:pPr>
        <w:spacing w:after="120" w:before="120"/>
      </w:pPr>
      <w:r>
        <w:t xml:space="preserve"/>
      </w:r>
    </w:p>
    <w:p>
      <w:pPr>
        <w:spacing w:after="80" w:before="80"/>
        <w:jc w:val="both"/>
      </w:pPr>
      <w:r>
        <w:rPr>
          <w:rFonts w:ascii="Arial" w:cs="Arial" w:eastAsia="Arial" w:hAnsi="Arial"/>
          <w:sz w:val="22"/>
          <w:szCs w:val="22"/>
        </w:rPr>
        <w:t xml:space="preserve">La logica di questa architettura è la massimizzazione del touchpoint coverage senza diluire il brand positioning: i marketplace vengono utilizzati come canali di first exposure in mercati dove la brand awareness è ancora limitata, con l'obiettivo esplicito di convertire successivamente i clienti acquisiti verso il canale DTC dove il margine è superiore e il dato cliente è proprietario.</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7.2 Localizzazione Digitale per Mercato Prioritario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Mercato</w:t>
            </w:r>
          </w:p>
        </w:tc>
        <w:tc>
          <w:tcPr>
            <w:tcW w:type="dxa" w:w="150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Lingua Sito</w:t>
            </w:r>
          </w:p>
        </w:tc>
        <w:tc>
          <w:tcPr>
            <w:tcW w:type="dxa" w:w="150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Valuta</w:t>
            </w:r>
          </w:p>
        </w:tc>
        <w:tc>
          <w:tcPr>
            <w:tcW w:type="dxa" w:w="150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Payment Methods</w:t>
            </w:r>
          </w:p>
        </w:tc>
        <w:tc>
          <w:tcPr>
            <w:tcW w:type="dxa" w:w="150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Social Platform Primaria</w:t>
            </w:r>
          </w:p>
        </w:tc>
        <w:tc>
          <w:tcPr>
            <w:tcW w:type="dxa" w:w="150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Marketplace Raccomandato</w:t>
            </w:r>
          </w:p>
        </w:tc>
      </w:tr>
      <w:tr>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UAE/GCC</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Arabo + Inglese</w:t>
            </w:r>
          </w:p>
        </w:tc>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AED / SAR</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Tabby BNPL, Visa/MC</w:t>
            </w:r>
          </w:p>
        </w:tc>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Instagram, TikTok</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Namshi, Ounass</w:t>
            </w:r>
          </w:p>
        </w:tc>
      </w:tr>
      <w:tr>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Australia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Inglese</w:t>
            </w:r>
          </w:p>
        </w:tc>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AUD</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AfterPay, Visa/MC</w:t>
            </w:r>
          </w:p>
        </w:tc>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Instagram, Pinterest</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The Iconic, ASOS AU</w:t>
            </w:r>
          </w:p>
        </w:tc>
      </w:tr>
      <w:tr>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Italia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Italiano</w:t>
            </w:r>
          </w:p>
        </w:tc>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EUR</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PayPal, Klarna</w:t>
            </w:r>
          </w:p>
        </w:tc>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Instagram, TikTok</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YOOX (gruppo Richemont)</w:t>
            </w:r>
          </w:p>
        </w:tc>
      </w:tr>
      <w:tr>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Germania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Tedesco</w:t>
            </w:r>
          </w:p>
        </w:tc>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EUR</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SEPA, Klarna, PayPal</w:t>
            </w:r>
          </w:p>
        </w:tc>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Instagram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Zalando, About You</w:t>
            </w:r>
          </w:p>
        </w:tc>
      </w:tr>
      <w:tr>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Corea del Sud</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Coreano</w:t>
            </w:r>
          </w:p>
        </w:tc>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KRW</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Kakao Pay, Naver</w:t>
            </w:r>
          </w:p>
        </w:tc>
        <w:tc>
          <w:tcPr>
            <w:tcW w:type="dxa" w:w="150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Instagram, Kakao</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 Concept, Musinsa</w:t>
            </w:r>
          </w:p>
        </w:tc>
      </w:tr>
    </w:tbl>
    <w:p>
      <w:pPr>
        <w:spacing w:after="120" w:before="120"/>
      </w:pPr>
      <w:r>
        <w:t xml:space="preserve"/>
      </w:r>
    </w:p>
    <w:p>
      <w:pPr>
        <w:pStyle w:val="Heading2"/>
        <w:spacing w:after="150" w:before="300"/>
      </w:pPr>
      <w:r>
        <w:rPr>
          <w:rFonts w:ascii="Arial" w:cs="Arial" w:eastAsia="Arial" w:hAnsi="Arial"/>
          <w:b/>
          <w:bCs/>
          <w:color w:val="1A1A2E"/>
          <w:sz w:val="26"/>
          <w:szCs w:val="26"/>
        </w:rPr>
        <w:t xml:space="preserve">7.3 Influencer Strategy per Mercato</w:t>
      </w:r>
    </w:p>
    <w:p>
      <w:pPr>
        <w:spacing w:after="80" w:before="80"/>
        <w:jc w:val="both"/>
      </w:pPr>
      <w:r>
        <w:rPr>
          <w:rFonts w:ascii="Arial" w:cs="Arial" w:eastAsia="Arial" w:hAnsi="Arial"/>
          <w:sz w:val="22"/>
          <w:szCs w:val="22"/>
        </w:rPr>
        <w:t xml:space="preserve">La forza competitiva di House of CB è stata costruita quasi interamente attraverso l'influencer marketing organico e il celebrity endorsement. La replicazione di questo modello nei nuovi mercati deve seguire una logica di credibilità culturale, non semplicemente di reach. Per il mercato UAE, la priorità è il coinvolgimento di influencer emirati e arabe con audience autenticamente GCC — non semplicemente influencer globali con follower internazionali. Per l'Italia, il profilo ideale è la fashion creator italiana nella fascia 300K–2M follower, con audience prevalentemente italiana e un posizionamento riconoscibilmente fashion-forward senza derive mass-market.</w:t>
      </w:r>
    </w:p>
    <w:p>
      <w:pPr>
        <w:spacing w:after="120" w:before="120"/>
      </w:pPr>
      <w:r>
        <w:t xml:space="preserve"/>
      </w:r>
    </w:p>
    <w:p>
      <w:pPr>
        <w:spacing w:after="80" w:before="80"/>
        <w:jc w:val="both"/>
      </w:pPr>
      <w:r>
        <w:rPr>
          <w:rFonts w:ascii="Arial" w:cs="Arial" w:eastAsia="Arial" w:hAnsi="Arial"/>
          <w:sz w:val="22"/>
          <w:szCs w:val="22"/>
        </w:rPr>
        <w:t xml:space="preserve">Il budget influencer per il lancio nei nuovi mercati può essere ottimizzato attraverso la strategia gifting + affiliate commission, che riduce il costo fisso mantenendo alto l'incentivo all'autenticità dei contenuti. Il KPI primario per questa fase non è il reach ma il conversion rate sul traffico generato dagli influencer — il segnale più accurato della rilevanza del brand per il target locale.</w:t>
      </w:r>
    </w:p>
    <w:p>
      <w:pPr>
        <w:spacing w:after="120" w:before="120"/>
      </w:pPr>
      <w:r>
        <w:t xml:space="preserve"/>
      </w:r>
    </w:p>
    <w:p>
      <w:r>
        <w:br w:type="page"/>
      </w:r>
    </w:p>
    <w:p>
      <w:pPr>
        <w:pStyle w:val="Heading1"/>
        <w:pBdr>
          <w:bottom w:val="single" w:color="C9A84C" w:sz="4" w:space="4"/>
        </w:pBdr>
        <w:spacing w:after="200" w:before="400"/>
      </w:pPr>
      <w:r>
        <w:rPr>
          <w:rFonts w:ascii="Arial" w:cs="Arial" w:eastAsia="Arial" w:hAnsi="Arial"/>
          <w:b/>
          <w:bCs/>
          <w:color w:val="1A1A2E"/>
          <w:sz w:val="32"/>
          <w:szCs w:val="32"/>
        </w:rPr>
        <w:t xml:space="preserve">8. NUOVE OPPORTUNITÀ DI BUSINESS</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8.1 Espansione del Segmento Bridal</w:t>
      </w:r>
    </w:p>
    <w:p>
      <w:pPr>
        <w:spacing w:after="80" w:before="80"/>
        <w:jc w:val="both"/>
      </w:pPr>
      <w:r>
        <w:rPr>
          <w:rFonts w:ascii="Arial" w:cs="Arial" w:eastAsia="Arial" w:hAnsi="Arial"/>
          <w:sz w:val="22"/>
          <w:szCs w:val="22"/>
        </w:rPr>
        <w:t xml:space="preserve">La bridal collection è il segmento ad alto potenziale più immediatamente monetizzabile. Il mercato globale del bridal è stimato a oltre 80 miliardi di dollari, con un segmento premium in crescita sostenuta. House of CB possiede già le competenze di corsetteria e costruzione strutturata che sono il core del bridal design. L'espansione verso un bridal concept store (shop-in-shop in flagship esistenti) e la distribuzione in atelier specializzati nei mercati target (soprattutto Dubai, dove la wedding culture è un fenomeno economicamente rilevante) potrebbe aggiungere un significativo revenue stream ad alto AOV.</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8.2 Collaborazioni e Capsule Collections</w:t>
      </w:r>
    </w:p>
    <w:p>
      <w:pPr>
        <w:spacing w:after="80" w:before="80"/>
        <w:jc w:val="both"/>
      </w:pPr>
      <w:r>
        <w:rPr>
          <w:rFonts w:ascii="Arial" w:cs="Arial" w:eastAsia="Arial" w:hAnsi="Arial"/>
          <w:sz w:val="22"/>
          <w:szCs w:val="22"/>
        </w:rPr>
        <w:t xml:space="preserve">Il modello delle capsule collection in collaborazione con celebrities o designer guest è naturalmente allineato con il DNA di House of CB. Una collaborazione strutturata — non più organica e spontanea come gli endorsement attuali, ma contrattualizzata con co-design e co-marketing — con una celebrity influente nei mercati target (es. un'influencer emiratina per il lancio UAE, o una cantante/attrice italiana per il mercato italiano) creerebbe un evento di brand activation con copertura mediatica amplificata e un prodotto esclusivo che giustifica premium pricing.</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8.3 Hospitality &amp; Brand Experience</w:t>
      </w:r>
    </w:p>
    <w:p>
      <w:pPr>
        <w:spacing w:after="80" w:before="80"/>
        <w:jc w:val="both"/>
      </w:pPr>
      <w:r>
        <w:rPr>
          <w:rFonts w:ascii="Arial" w:cs="Arial" w:eastAsia="Arial" w:hAnsi="Arial"/>
          <w:sz w:val="22"/>
          <w:szCs w:val="22"/>
        </w:rPr>
        <w:t xml:space="preserve">Il posizionamento lifestyle del brand apre una traiettoria di sviluppo verso il mondo dell'hospitality di brand: pop-up esperienziali, styling studios, private shopping events in collaborazione con hotel di lusso nei mercati target (es. un evento esclusivo al Burj Al Arab a Dubai, o un private shopping event durante la Fashion Week milanese). Questa strategia — già adottata da brand come Jacquemus, Staud e ROTATE — trasforma il brand fashion in una lifestyle experience, rafforza la brand equity premium e genera contenuto organico di alta qualità.</w:t>
      </w:r>
    </w:p>
    <w:p>
      <w:pPr>
        <w:spacing w:after="120" w:before="120"/>
      </w:pPr>
      <w:r>
        <w:t xml:space="preserve"/>
      </w:r>
    </w:p>
    <w:p>
      <w:pPr>
        <w:pStyle w:val="Heading2"/>
        <w:spacing w:after="150" w:before="300"/>
      </w:pPr>
      <w:r>
        <w:rPr>
          <w:rFonts w:ascii="Arial" w:cs="Arial" w:eastAsia="Arial" w:hAnsi="Arial"/>
          <w:b/>
          <w:bCs/>
          <w:color w:val="1A1A2E"/>
          <w:sz w:val="26"/>
          <w:szCs w:val="26"/>
        </w:rPr>
        <w:t xml:space="preserve">8.4 B2B: Costume Design e Corporate Gifting</w:t>
      </w:r>
    </w:p>
    <w:p>
      <w:pPr>
        <w:spacing w:after="80" w:before="80"/>
        <w:jc w:val="both"/>
      </w:pPr>
      <w:r>
        <w:rPr>
          <w:rFonts w:ascii="Arial" w:cs="Arial" w:eastAsia="Arial" w:hAnsi="Arial"/>
          <w:sz w:val="22"/>
          <w:szCs w:val="22"/>
        </w:rPr>
        <w:t xml:space="preserve">Un'opportunità di business non convenzionale ma strategicamente coerente è il mercato B2B per il costume design (tv series, film, eventi live) e il corporate gifting di lusso (aziende che regalano fashion items ai clienti premium). Il brand ha già visibilità nei circuiti entertainment. Strutturare un'offering B2B dedicata — con pricing ad hoc, account manager dedicati e logistica white-glove — potrebbe generare revenue addizionale con costi marginali contenuti.</w:t>
      </w:r>
    </w:p>
    <w:p>
      <w:pPr>
        <w:spacing w:after="120" w:before="120"/>
      </w:pPr>
      <w:r>
        <w:t xml:space="preserve"/>
      </w:r>
    </w:p>
    <w:p>
      <w:r>
        <w:br w:type="page"/>
      </w:r>
    </w:p>
    <w:p>
      <w:pPr>
        <w:pStyle w:val="Heading1"/>
        <w:pBdr>
          <w:bottom w:val="single" w:color="C9A84C" w:sz="4" w:space="4"/>
        </w:pBdr>
        <w:spacing w:after="200" w:before="400"/>
      </w:pPr>
      <w:r>
        <w:rPr>
          <w:rFonts w:ascii="Arial" w:cs="Arial" w:eastAsia="Arial" w:hAnsi="Arial"/>
          <w:b/>
          <w:bCs/>
          <w:color w:val="1A1A2E"/>
          <w:sz w:val="32"/>
          <w:szCs w:val="32"/>
        </w:rPr>
        <w:t xml:space="preserve">9. CONCLUSIONI STRATEGICHE</w:t>
      </w:r>
    </w:p>
    <w:p>
      <w:pPr>
        <w:spacing w:after="120" w:before="120"/>
      </w:pPr>
      <w:r>
        <w:t xml:space="preserve"/>
      </w:r>
    </w:p>
    <w:p>
      <w:pPr>
        <w:spacing w:after="80" w:before="80"/>
        <w:jc w:val="both"/>
      </w:pPr>
      <w:r>
        <w:rPr>
          <w:rFonts w:ascii="Arial" w:cs="Arial" w:eastAsia="Arial" w:hAnsi="Arial"/>
          <w:sz w:val="22"/>
          <w:szCs w:val="22"/>
        </w:rPr>
        <w:t xml:space="preserve">House of CB si presenta all'analisi strategica come un brand in una fase di maturità accelerata: ha superato con successo la transizione da digitale puro a brand omnicanale con presenza fisica internazionale, e si trova ora nel momento cruciale di definire la traiettoria della propria espansione globale. La logica economica del brand — DTC ad alta marginalità, community organica di milioni di follower, celebrity credibility senza investimenti pubblicitari convenzionali — costituisce un modello di business raro e difficilmente replicabile, che giustifica una strategia di crescita ambiziosa.</w:t>
      </w:r>
    </w:p>
    <w:p>
      <w:pPr>
        <w:spacing w:after="120" w:before="120"/>
      </w:pPr>
      <w:r>
        <w:t xml:space="preserve"/>
      </w:r>
    </w:p>
    <w:p>
      <w:pPr>
        <w:spacing w:after="80" w:before="80"/>
        <w:jc w:val="both"/>
      </w:pPr>
      <w:r>
        <w:rPr>
          <w:rFonts w:ascii="Arial" w:cs="Arial" w:eastAsia="Arial" w:hAnsi="Arial"/>
          <w:sz w:val="22"/>
          <w:szCs w:val="22"/>
        </w:rPr>
        <w:t xml:space="preserve">La prioritizzazione dei mercati target — UAE/Dubai in primo luogo, Australia in parallelo, Italia come terzo mercato nel medio termine — non è arbitraria ma derivata dall'allineamento tra il profilo della consumatrice House of CB e le caratteristiche strutturali di ciascun mercato. L'UAE combina alto potere d'acquisto, affinità con il brand statement dell'occasionwear premium e un bacino di distribuzione regionale (GCC) che moltiplica il ritorno sull'investimento di un singolo flagship. L'Australia offre l'accesso a una consumatrice anglofona culturalmente simile al target domestico UK, con una propensione all'acquisto online molto alta e un mercato fashion relativamente poco presidiato dal brand. L'Italia offre un accesso al mercato europeo premium attraverso il canale wholesale, con un posizionamento di brand origin (British luxury) che è percepito positivamente dalla consumatrice italiana.</w:t>
      </w:r>
    </w:p>
    <w:p>
      <w:pPr>
        <w:spacing w:after="120" w:before="120"/>
      </w:pPr>
      <w:r>
        <w:t xml:space="preserve"/>
      </w:r>
    </w:p>
    <w:p>
      <w:pPr>
        <w:spacing w:after="80" w:before="80"/>
        <w:jc w:val="both"/>
      </w:pPr>
      <w:r>
        <w:rPr>
          <w:rFonts w:ascii="Arial" w:cs="Arial" w:eastAsia="Arial" w:hAnsi="Arial"/>
          <w:sz w:val="22"/>
          <w:szCs w:val="22"/>
        </w:rPr>
        <w:t xml:space="preserve">Il principale rischio sistemico identificato nell'analisi è il deficit ESG. In un orizzonte di 3–5 anni, la pressione regolatorio-normativa europea (CSRD, Digital Product Passport) e la crescente selettività dei consumatori premium globali renderanno questo gap non più tollerabile sul piano commerciale, non solo su quello reputazionale. L'investimento in un programma ESG strutturato — anche graduale e pragmatico, partendo da certificazioni accessibili come OEKO-TEX e dalla pubblicazione di un Sustainability Report annuale — è pertanto una priorità strategica di secondo livello immediatamente attivabile, parallelamente all'espansione geografica.</w:t>
      </w:r>
    </w:p>
    <w:p>
      <w:pPr>
        <w:spacing w:after="120" w:before="120"/>
      </w:pPr>
      <w:r>
        <w:t xml:space="preserve"/>
      </w:r>
    </w:p>
    <w:p>
      <w:pPr>
        <w:spacing w:after="80" w:before="80"/>
        <w:jc w:val="both"/>
      </w:pPr>
      <w:r>
        <w:rPr>
          <w:rFonts w:ascii="Arial" w:cs="Arial" w:eastAsia="Arial" w:hAnsi="Arial"/>
          <w:sz w:val="22"/>
          <w:szCs w:val="22"/>
        </w:rPr>
        <w:t xml:space="preserve">In sintesi, la raccomandazione strategica centrale è la seguente: House of CB deve accelerare la propria presenza fisica e digitale nei mercati target identificati, con un modello di entry graduato (DTC + marketplace + wholesale selettivo) che minimizza il capitale iniziale richiesto e massimizza la velocità di learning. La forza del brand — costruita in 15 anni di lavoro su identità, community e celebrity positioning — è oggi un asset sufficientemente robusto per sostenere una espansione internazionale ambiziosa. Il momento è favorevole: il segmento accessible luxury è in crescita globale, la domanda di contemporary womenswear internazionale nei mercati GCC e australiano è strutturalmente in aumento, e il brand ha la visibilità organica per trasformare questa domanda latente in revenue reale con investimenti proporzionati alla sua scala attuale.</w:t>
      </w:r>
    </w:p>
    <w:p>
      <w:pPr>
        <w:spacing w:after="120" w:before="120"/>
      </w:pPr>
      <w:r>
        <w:t xml:space="preserve"/>
      </w:r>
    </w:p>
    <w:p>
      <w:pPr>
        <w:spacing w:after="120" w:before="120"/>
      </w:pPr>
      <w:r>
        <w:t xml:space="preserve"/>
      </w:r>
    </w:p>
    <w:p>
      <w:pPr>
        <w:spacing w:after="200" w:before="400"/>
        <w:jc w:val="center"/>
      </w:pPr>
      <w:r>
        <w:rPr>
          <w:rFonts w:ascii="Arial" w:cs="Arial" w:eastAsia="Arial" w:hAnsi="Arial"/>
          <w:color w:val="C9A84C"/>
          <w:sz w:val="22"/>
          <w:szCs w:val="22"/>
        </w:rPr>
        <w:t xml:space="preserve">────────────────────────────────────────────────────────</w:t>
      </w:r>
    </w:p>
    <w:p>
      <w:pPr>
        <w:jc w:val="center"/>
      </w:pPr>
      <w:r>
        <w:rPr>
          <w:rFonts w:ascii="Arial" w:cs="Arial" w:eastAsia="Arial" w:hAnsi="Arial"/>
          <w:i/>
          <w:iCs/>
          <w:color w:val="888888"/>
          <w:sz w:val="18"/>
          <w:szCs w:val="18"/>
        </w:rPr>
        <w:t xml:space="preserve">Report elaborato per finalità accademiche e di export consultancy strategica.</w:t>
      </w:r>
    </w:p>
    <w:p>
      <w:pPr>
        <w:spacing w:after="200" w:before="0"/>
        <w:jc w:val="center"/>
      </w:pPr>
      <w:r>
        <w:rPr>
          <w:rFonts w:ascii="Arial" w:cs="Arial" w:eastAsia="Arial" w:hAnsi="Arial"/>
          <w:i/>
          <w:iCs/>
          <w:color w:val="888888"/>
          <w:sz w:val="18"/>
          <w:szCs w:val="18"/>
        </w:rPr>
        <w:t xml:space="preserve">House of CB — Strategic Internationalization Report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2026-05-21T10:10:29.812Z</dcterms:created>
  <dcterms:modified xsi:type="dcterms:W3CDTF">2026-05-21T10:10:29.824Z</dcterms:modified>
</cp:coreProperties>
</file>

<file path=docProps/custom.xml><?xml version="1.0" encoding="utf-8"?>
<Properties xmlns="http://schemas.openxmlformats.org/officeDocument/2006/custom-properties" xmlns:vt="http://schemas.openxmlformats.org/officeDocument/2006/docPropsVTypes"/>
</file>