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32A1" w14:textId="77777777" w:rsidR="00DF34DB" w:rsidRPr="00ED3FFB" w:rsidRDefault="00DF34DB" w:rsidP="00DF34DB">
      <w:pPr>
        <w:pStyle w:val="paragraph"/>
        <w:spacing w:before="0" w:beforeAutospacing="0" w:after="0" w:afterAutospacing="0" w:line="276" w:lineRule="auto"/>
        <w:jc w:val="center"/>
        <w:textAlignment w:val="baseline"/>
        <w:rPr>
          <w:rFonts w:ascii="Segoe UI" w:hAnsi="Segoe UI" w:cs="Segoe UI"/>
          <w:sz w:val="18"/>
          <w:szCs w:val="18"/>
          <w:lang w:val="en-US"/>
        </w:rPr>
      </w:pPr>
      <w:r w:rsidRPr="00ED3FFB">
        <w:rPr>
          <w:rStyle w:val="normaltextrun"/>
          <w:rFonts w:eastAsiaTheme="majorEastAsia"/>
          <w:color w:val="000000"/>
          <w:lang w:val="en-US"/>
        </w:rPr>
        <w:t xml:space="preserve">Caso </w:t>
      </w:r>
      <w:r>
        <w:rPr>
          <w:rStyle w:val="normaltextrun"/>
          <w:rFonts w:eastAsiaTheme="majorEastAsia"/>
          <w:color w:val="000000"/>
          <w:lang w:val="en-US"/>
        </w:rPr>
        <w:t>4</w:t>
      </w:r>
      <w:r w:rsidRPr="00ED3FFB">
        <w:rPr>
          <w:rStyle w:val="normaltextrun"/>
          <w:rFonts w:eastAsiaTheme="majorEastAsia"/>
          <w:color w:val="000000"/>
          <w:lang w:val="en-US"/>
        </w:rPr>
        <w:t xml:space="preserve">: </w:t>
      </w:r>
      <w:r>
        <w:rPr>
          <w:rStyle w:val="normaltextrun"/>
          <w:rFonts w:eastAsiaTheme="majorEastAsia"/>
          <w:color w:val="000000"/>
          <w:lang w:val="en-US"/>
        </w:rPr>
        <w:t>Predicting Customer Churn</w:t>
      </w:r>
    </w:p>
    <w:p w14:paraId="2DB32C0C" w14:textId="77777777" w:rsidR="00DF34DB" w:rsidRPr="00ED3FFB" w:rsidRDefault="00DF34DB" w:rsidP="00DF34DB">
      <w:pPr>
        <w:pStyle w:val="paragraph"/>
        <w:spacing w:before="0" w:beforeAutospacing="0" w:after="0" w:afterAutospacing="0" w:line="276" w:lineRule="auto"/>
        <w:jc w:val="center"/>
        <w:textAlignment w:val="baseline"/>
        <w:rPr>
          <w:rFonts w:ascii="Segoe UI" w:hAnsi="Segoe UI" w:cs="Segoe UI"/>
          <w:sz w:val="18"/>
          <w:szCs w:val="18"/>
          <w:lang w:val="en-US"/>
        </w:rPr>
      </w:pPr>
    </w:p>
    <w:p w14:paraId="4DAD8EDE"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wacimagecontainer"/>
          <w:rFonts w:ascii="Segoe UI" w:eastAsiaTheme="majorEastAsia" w:hAnsi="Segoe UI" w:cs="Segoe UI"/>
          <w:noProof/>
          <w:sz w:val="18"/>
          <w:szCs w:val="18"/>
        </w:rPr>
        <w:drawing>
          <wp:inline distT="0" distB="0" distL="0" distR="0" wp14:anchorId="574FF210" wp14:editId="31062B3A">
            <wp:extent cx="1467485" cy="1818005"/>
            <wp:effectExtent l="0" t="0" r="5715" b="0"/>
            <wp:docPr id="25451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7485" cy="1818005"/>
                    </a:xfrm>
                    <a:prstGeom prst="rect">
                      <a:avLst/>
                    </a:prstGeom>
                    <a:noFill/>
                    <a:ln>
                      <a:noFill/>
                    </a:ln>
                  </pic:spPr>
                </pic:pic>
              </a:graphicData>
            </a:graphic>
          </wp:inline>
        </w:drawing>
      </w:r>
    </w:p>
    <w:p w14:paraId="164EB191"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63FED620"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42696A48"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611F3222"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04D3245D"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3326A761"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6CEFF26D"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Juan Esteban Daza Forero</w:t>
      </w:r>
    </w:p>
    <w:p w14:paraId="4C3436A9"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0A21BD00"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Sofia Acuña Cifuentes</w:t>
      </w:r>
    </w:p>
    <w:p w14:paraId="4B5C670A"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32E9D3C2"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Mariana Andrea Hernández Pinto</w:t>
      </w:r>
    </w:p>
    <w:p w14:paraId="4F6D8D3F"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38D08693"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32C78354"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2B0603C2"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20CB05F1"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Docente:</w:t>
      </w:r>
    </w:p>
    <w:p w14:paraId="27AFA793"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Juan Nicolas Velásquez</w:t>
      </w:r>
    </w:p>
    <w:p w14:paraId="18BC6EA6"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0FED8B48"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27050CBE"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07C6A8B9"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6B43708F"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Pontificia Universidad Javeriana</w:t>
      </w:r>
    </w:p>
    <w:p w14:paraId="1542165D"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Facultad de Ciencias Económicas y Administrativas</w:t>
      </w:r>
    </w:p>
    <w:p w14:paraId="23609D5E"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4C81DFBC"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2D711F2B"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67C56F5D" w14:textId="77777777" w:rsidR="00DF34DB" w:rsidRDefault="00DF34DB" w:rsidP="00DF34DB">
      <w:pPr>
        <w:pStyle w:val="paragraph"/>
        <w:spacing w:before="0" w:beforeAutospacing="0" w:after="0" w:afterAutospacing="0" w:line="276" w:lineRule="auto"/>
        <w:jc w:val="center"/>
        <w:textAlignment w:val="baseline"/>
        <w:rPr>
          <w:rFonts w:ascii="Segoe UI" w:hAnsi="Segoe UI" w:cs="Segoe UI"/>
          <w:sz w:val="18"/>
          <w:szCs w:val="18"/>
        </w:rPr>
      </w:pPr>
    </w:p>
    <w:p w14:paraId="1C4E2C36" w14:textId="77777777" w:rsidR="00DF34DB" w:rsidRDefault="00DF34DB" w:rsidP="00DF34DB">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28</w:t>
      </w:r>
      <w:r w:rsidRPr="000E462A">
        <w:rPr>
          <w:rStyle w:val="normaltextrun"/>
          <w:rFonts w:eastAsiaTheme="majorEastAsia"/>
          <w:color w:val="000000"/>
        </w:rPr>
        <w:t>/0</w:t>
      </w:r>
      <w:r>
        <w:rPr>
          <w:rStyle w:val="normaltextrun"/>
          <w:rFonts w:eastAsiaTheme="majorEastAsia"/>
          <w:color w:val="000000"/>
        </w:rPr>
        <w:t>4</w:t>
      </w:r>
      <w:r w:rsidRPr="000E462A">
        <w:rPr>
          <w:rStyle w:val="normaltextrun"/>
          <w:rFonts w:eastAsiaTheme="majorEastAsia"/>
          <w:color w:val="000000"/>
        </w:rPr>
        <w:t>/2026</w:t>
      </w:r>
    </w:p>
    <w:p w14:paraId="7E02DCE5" w14:textId="77777777" w:rsidR="00DF34DB" w:rsidRDefault="00DF34DB" w:rsidP="00DF34DB"/>
    <w:p w14:paraId="4EE12FC2" w14:textId="77777777" w:rsidR="00DF34DB" w:rsidRDefault="00DF34DB" w:rsidP="00DF34DB"/>
    <w:p w14:paraId="2FF1F4FA" w14:textId="77777777" w:rsidR="00DF34DB" w:rsidRDefault="00DF34DB" w:rsidP="00DF34DB"/>
    <w:p w14:paraId="704FE9F1" w14:textId="77777777" w:rsidR="00DF34DB" w:rsidRPr="00B223B9" w:rsidRDefault="00DF34DB" w:rsidP="00DF34DB"/>
    <w:p w14:paraId="44CEBB8F" w14:textId="77777777" w:rsidR="00DF34DB" w:rsidRDefault="00DF34DB" w:rsidP="00DF34DB">
      <w:pPr>
        <w:rPr>
          <w:b/>
          <w:bCs/>
        </w:rPr>
      </w:pPr>
    </w:p>
    <w:p w14:paraId="49FE4446" w14:textId="77777777" w:rsidR="00DF34DB" w:rsidRDefault="00DF34DB" w:rsidP="00DF34DB">
      <w:pPr>
        <w:rPr>
          <w:b/>
          <w:bCs/>
        </w:rPr>
      </w:pPr>
    </w:p>
    <w:p w14:paraId="3A8E1DC7" w14:textId="77777777" w:rsidR="00DF34DB" w:rsidRDefault="00DF34DB" w:rsidP="00DF34DB"/>
    <w:p w14:paraId="791927CB" w14:textId="77777777" w:rsidR="00DF34DB" w:rsidRPr="004230BE" w:rsidRDefault="00DF34DB" w:rsidP="004230BE">
      <w:pPr>
        <w:pStyle w:val="Heading1"/>
        <w:ind w:left="360" w:hanging="360"/>
        <w:jc w:val="both"/>
        <w:rPr>
          <w:rFonts w:ascii="Times New Roman" w:hAnsi="Times New Roman" w:cs="Times New Roman"/>
          <w:b/>
          <w:bCs/>
          <w:color w:val="000000" w:themeColor="text1"/>
          <w:sz w:val="24"/>
          <w:szCs w:val="24"/>
        </w:rPr>
      </w:pPr>
      <w:r w:rsidRPr="004230BE">
        <w:rPr>
          <w:rFonts w:ascii="Times New Roman" w:hAnsi="Times New Roman" w:cs="Times New Roman"/>
          <w:b/>
          <w:bCs/>
          <w:color w:val="000000" w:themeColor="text1"/>
          <w:sz w:val="24"/>
          <w:szCs w:val="24"/>
        </w:rPr>
        <w:lastRenderedPageBreak/>
        <w:t>Introducción</w:t>
      </w:r>
    </w:p>
    <w:p w14:paraId="5518820B" w14:textId="77777777" w:rsidR="00DF34DB" w:rsidRDefault="00DF34DB" w:rsidP="004230BE">
      <w:pPr>
        <w:jc w:val="both"/>
      </w:pPr>
    </w:p>
    <w:p w14:paraId="2841BE08" w14:textId="77777777" w:rsidR="00DF34DB" w:rsidRPr="008749B9" w:rsidRDefault="00DF34DB" w:rsidP="004230BE">
      <w:pPr>
        <w:jc w:val="both"/>
      </w:pPr>
      <w:r w:rsidRPr="008749B9">
        <w:t>QWE INC. es una empresa que ofrece servicios digitales por suscripción a pequeñas y medianas empresas. Hasta 2012, gestionaba la deserción de clientes de forma reactiva, ofreciendo descuentos o beneficios al momento de la cancelación, lo que resultaba costoso e ineficiente. Ante esto, se planteó desarrollar un modelo predictivo que permitiera anticipar qué clientes tienen mayor probabilidad de abandonar el servicio en el corto plazo y así implementar estrategias más efectivas. Para ello, se cuenta con una base de datos de 6,347 clientes con información sobre antigüedad, satisfacción (CHI), uso del servicio y soporte, donde la variable de interés es la deserción (</w:t>
      </w:r>
      <w:proofErr w:type="spellStart"/>
      <w:r w:rsidRPr="008749B9">
        <w:t>churn</w:t>
      </w:r>
      <w:proofErr w:type="spellEnd"/>
      <w:r w:rsidRPr="008749B9">
        <w:t>), la cual presenta un bajo porcentaje (~5%), implicando un problema de datos desbalanceados.</w:t>
      </w:r>
    </w:p>
    <w:p w14:paraId="7D24112B" w14:textId="77777777" w:rsidR="00DF34DB" w:rsidRPr="004230BE" w:rsidRDefault="00DF34DB" w:rsidP="004230BE">
      <w:pPr>
        <w:pStyle w:val="Heading1"/>
        <w:jc w:val="both"/>
        <w:rPr>
          <w:rFonts w:ascii="Times New Roman" w:hAnsi="Times New Roman" w:cs="Times New Roman"/>
          <w:color w:val="000000" w:themeColor="text1"/>
          <w:sz w:val="26"/>
          <w:szCs w:val="26"/>
        </w:rPr>
      </w:pPr>
      <w:r w:rsidRPr="004230BE">
        <w:rPr>
          <w:rFonts w:ascii="Times New Roman" w:hAnsi="Times New Roman" w:cs="Times New Roman"/>
          <w:color w:val="000000" w:themeColor="text1"/>
          <w:sz w:val="26"/>
          <w:szCs w:val="26"/>
        </w:rPr>
        <w:t>Análisis de Deserción de Clientes - QWE INC.</w:t>
      </w:r>
    </w:p>
    <w:p w14:paraId="6BB39DC6" w14:textId="77777777" w:rsidR="00DF34DB" w:rsidRPr="004230BE" w:rsidRDefault="00DF34DB" w:rsidP="004230BE">
      <w:pPr>
        <w:pStyle w:val="Heading2"/>
        <w:jc w:val="both"/>
        <w:rPr>
          <w:rFonts w:ascii="Times New Roman" w:hAnsi="Times New Roman" w:cs="Times New Roman"/>
          <w:i/>
          <w:iCs/>
          <w:color w:val="000000" w:themeColor="text1"/>
          <w:sz w:val="24"/>
          <w:szCs w:val="24"/>
        </w:rPr>
      </w:pPr>
      <w:r w:rsidRPr="004230BE">
        <w:rPr>
          <w:rFonts w:ascii="Times New Roman" w:hAnsi="Times New Roman" w:cs="Times New Roman"/>
          <w:i/>
          <w:iCs/>
          <w:color w:val="000000" w:themeColor="text1"/>
          <w:sz w:val="24"/>
          <w:szCs w:val="24"/>
        </w:rPr>
        <w:t>Tabla 1. Estadísticas Descriptivas</w:t>
      </w:r>
    </w:p>
    <w:tbl>
      <w:tblPr>
        <w:tblW w:w="10639" w:type="dxa"/>
        <w:jc w:val="center"/>
        <w:tblLayout w:type="fixed"/>
        <w:tblLook w:val="0420" w:firstRow="1" w:lastRow="0" w:firstColumn="0" w:lastColumn="0" w:noHBand="0" w:noVBand="1"/>
      </w:tblPr>
      <w:tblGrid>
        <w:gridCol w:w="2942"/>
        <w:gridCol w:w="961"/>
        <w:gridCol w:w="1034"/>
        <w:gridCol w:w="1291"/>
        <w:gridCol w:w="2000"/>
        <w:gridCol w:w="1181"/>
        <w:gridCol w:w="1230"/>
      </w:tblGrid>
      <w:tr w:rsidR="00DF34DB" w:rsidRPr="008749B9" w14:paraId="49FB5ED0" w14:textId="77777777" w:rsidTr="004A7F04">
        <w:trPr>
          <w:tblHeader/>
          <w:jc w:val="center"/>
        </w:trPr>
        <w:tc>
          <w:tcPr>
            <w:tcW w:w="29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89835"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Variable</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41D05"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N</w:t>
            </w:r>
          </w:p>
        </w:tc>
        <w:tc>
          <w:tcPr>
            <w:tcW w:w="10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A14A5"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Media</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86D0E2"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Mediana</w:t>
            </w:r>
          </w:p>
        </w:tc>
        <w:tc>
          <w:tcPr>
            <w:tcW w:w="2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8713B"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proofErr w:type="spellStart"/>
            <w:r w:rsidRPr="008749B9">
              <w:rPr>
                <w:rFonts w:eastAsia="Helvetica"/>
                <w:b/>
                <w:color w:val="000000"/>
                <w:sz w:val="22"/>
                <w:szCs w:val="22"/>
              </w:rPr>
              <w:t>Desv</w:t>
            </w:r>
            <w:proofErr w:type="spellEnd"/>
            <w:r w:rsidRPr="008749B9">
              <w:rPr>
                <w:rFonts w:eastAsia="Helvetica"/>
                <w:b/>
                <w:color w:val="000000"/>
                <w:sz w:val="22"/>
                <w:szCs w:val="22"/>
              </w:rPr>
              <w:t>. Estándar</w:t>
            </w:r>
          </w:p>
        </w:tc>
        <w:tc>
          <w:tcPr>
            <w:tcW w:w="11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C931D"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Mínimo</w:t>
            </w:r>
          </w:p>
        </w:tc>
        <w:tc>
          <w:tcPr>
            <w:tcW w:w="12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D49F9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Máximo</w:t>
            </w:r>
          </w:p>
        </w:tc>
      </w:tr>
      <w:tr w:rsidR="00DF34DB" w:rsidRPr="008749B9" w14:paraId="4D7130EF" w14:textId="77777777" w:rsidTr="004A7F04">
        <w:trPr>
          <w:jc w:val="center"/>
        </w:trPr>
        <w:tc>
          <w:tcPr>
            <w:tcW w:w="29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12E4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Edad del cliente (meses)</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81B2D"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6,347</w:t>
            </w:r>
          </w:p>
        </w:tc>
        <w:tc>
          <w:tcPr>
            <w:tcW w:w="10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7639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13.90</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7451"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11</w:t>
            </w:r>
          </w:p>
        </w:tc>
        <w:tc>
          <w:tcPr>
            <w:tcW w:w="20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F26D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11.16</w:t>
            </w:r>
          </w:p>
        </w:tc>
        <w:tc>
          <w:tcPr>
            <w:tcW w:w="11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0B5CE"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w:t>
            </w:r>
          </w:p>
        </w:tc>
        <w:tc>
          <w:tcPr>
            <w:tcW w:w="12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B7B2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67</w:t>
            </w:r>
          </w:p>
        </w:tc>
      </w:tr>
      <w:tr w:rsidR="00DF34DB" w:rsidRPr="008749B9" w14:paraId="08DB1011"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F1486"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CHI Score (mes 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3080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6,347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8135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87.32</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9E04B"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87</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E7D61"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66.28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CCDCD"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009F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298</w:t>
            </w:r>
          </w:p>
        </w:tc>
      </w:tr>
      <w:tr w:rsidR="00DF34DB" w:rsidRPr="008749B9" w14:paraId="046D6413"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40CA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Cambio CHI Score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6508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6,347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B965E"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5.06</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479C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FA04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30.83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4A26E"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-125</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8193E"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208</w:t>
            </w:r>
          </w:p>
        </w:tc>
      </w:tr>
      <w:tr w:rsidR="00DF34DB" w:rsidRPr="008749B9" w14:paraId="1D5EB11A"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4ECD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Casos de soporte (mes 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DE572"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6,347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7FFE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0.71</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0672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22C26"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44D4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55B5D"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32</w:t>
            </w:r>
          </w:p>
        </w:tc>
      </w:tr>
      <w:tr w:rsidR="00DF34DB" w:rsidRPr="008749B9" w14:paraId="7F72724D"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CF804"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Cambio casos de soporte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3912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6,347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33B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-0.01</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E526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BAEC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D012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-29</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20E7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31</w:t>
            </w:r>
          </w:p>
        </w:tc>
      </w:tr>
      <w:tr w:rsidR="00DF34DB" w:rsidRPr="008749B9" w14:paraId="4145C1A2"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7EA35"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 xml:space="preserve">Cambio en </w:t>
            </w:r>
            <w:proofErr w:type="spellStart"/>
            <w:r w:rsidRPr="008749B9">
              <w:rPr>
                <w:rFonts w:eastAsia="Helvetica"/>
                <w:color w:val="000000"/>
                <w:sz w:val="22"/>
                <w:szCs w:val="22"/>
              </w:rPr>
              <w:t>logins</w:t>
            </w:r>
            <w:proofErr w:type="spellEnd"/>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0E55F"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6,347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C397D"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15.73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6514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97EC4"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42.12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0FAD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-293</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421E9"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865</w:t>
            </w:r>
          </w:p>
        </w:tc>
      </w:tr>
      <w:tr w:rsidR="00DF34DB" w:rsidRPr="008749B9" w14:paraId="524C2F35"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24376"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Cambio en vistas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2D704"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6,347</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F836D"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96.31</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1D7A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BAAB1"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3,152.41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00D8A"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-28,322</w:t>
            </w:r>
          </w:p>
        </w:tc>
        <w:tc>
          <w:tcPr>
            <w:tcW w:w="12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145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230,414</w:t>
            </w:r>
          </w:p>
        </w:tc>
      </w:tr>
      <w:tr w:rsidR="00DF34DB" w:rsidRPr="008749B9" w14:paraId="676E8610" w14:textId="77777777" w:rsidTr="004A7F04">
        <w:trPr>
          <w:jc w:val="center"/>
        </w:trPr>
        <w:tc>
          <w:tcPr>
            <w:tcW w:w="29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BBDE8B"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 xml:space="preserve">Cambio días sin </w:t>
            </w:r>
            <w:proofErr w:type="spellStart"/>
            <w:r w:rsidRPr="008749B9">
              <w:rPr>
                <w:rFonts w:eastAsia="Helvetica"/>
                <w:color w:val="000000"/>
                <w:sz w:val="22"/>
                <w:szCs w:val="22"/>
              </w:rPr>
              <w:t>login</w:t>
            </w:r>
            <w:proofErr w:type="spellEnd"/>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554F9D"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6,347</w:t>
            </w:r>
          </w:p>
        </w:tc>
        <w:tc>
          <w:tcPr>
            <w:tcW w:w="10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C210F"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1.76</w:t>
            </w:r>
          </w:p>
        </w:tc>
        <w:tc>
          <w:tcPr>
            <w:tcW w:w="12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ED335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w:t>
            </w:r>
          </w:p>
        </w:tc>
        <w:tc>
          <w:tcPr>
            <w:tcW w:w="20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D83461"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17.97</w:t>
            </w:r>
          </w:p>
        </w:tc>
        <w:tc>
          <w:tcPr>
            <w:tcW w:w="11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5E2CB4"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-648</w:t>
            </w:r>
          </w:p>
        </w:tc>
        <w:tc>
          <w:tcPr>
            <w:tcW w:w="123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5C97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61</w:t>
            </w:r>
          </w:p>
        </w:tc>
      </w:tr>
    </w:tbl>
    <w:p w14:paraId="1619F79F" w14:textId="77777777" w:rsidR="00DF34DB" w:rsidRPr="008749B9" w:rsidRDefault="00DF34DB" w:rsidP="004230BE">
      <w:pPr>
        <w:jc w:val="both"/>
      </w:pPr>
    </w:p>
    <w:p w14:paraId="7D3D5724" w14:textId="77777777" w:rsidR="00DF34DB" w:rsidRDefault="00DF34DB" w:rsidP="004230BE">
      <w:pPr>
        <w:jc w:val="both"/>
      </w:pPr>
      <w:bookmarkStart w:id="0" w:name="OLE_LINK1"/>
      <w:r w:rsidRPr="008749B9">
        <w:t xml:space="preserve">La Tabla 1 presenta las estadísticas descriptivas de las variables continuas incluidas en el modelo con 6,347 observaciones sin valores faltantes. Ahora, la </w:t>
      </w:r>
      <w:r w:rsidRPr="008749B9">
        <w:rPr>
          <w:rStyle w:val="Strong"/>
        </w:rPr>
        <w:t>edad promedio del cliente es de 13.9 meses</w:t>
      </w:r>
      <w:r w:rsidRPr="008749B9">
        <w:t xml:space="preserve">, lo que indica una base de usuarios relativamente reciente, con alta dispersión (DE = 11.16). El </w:t>
      </w:r>
      <w:r w:rsidRPr="008749B9">
        <w:rPr>
          <w:rStyle w:val="Strong"/>
        </w:rPr>
        <w:t>CHI Score promedio es elevado (87.32)</w:t>
      </w:r>
      <w:r w:rsidRPr="008749B9">
        <w:rPr>
          <w:b/>
          <w:bCs/>
        </w:rPr>
        <w:t>,</w:t>
      </w:r>
      <w:r w:rsidRPr="008749B9">
        <w:t xml:space="preserve"> con una alta variabilidad (SD = 153.52), lo que sugiere diferencias importantes en la salud percibida de la relación con el cliente. Por otro lado, los </w:t>
      </w:r>
      <w:r w:rsidRPr="008749B9">
        <w:rPr>
          <w:rStyle w:val="Strong"/>
        </w:rPr>
        <w:t>casos de soporte son bajos en promedio (0.71)</w:t>
      </w:r>
      <w:r w:rsidRPr="008749B9">
        <w:rPr>
          <w:b/>
          <w:bCs/>
        </w:rPr>
        <w:t>,</w:t>
      </w:r>
      <w:r w:rsidRPr="008749B9">
        <w:t xml:space="preserve"> pero con valores extremos que podrían estar asociados a clientes con problemas específicos. Las variables de cambio (</w:t>
      </w:r>
      <w:proofErr w:type="spellStart"/>
      <w:r w:rsidRPr="008749B9">
        <w:t>logins</w:t>
      </w:r>
      <w:proofErr w:type="spellEnd"/>
      <w:r w:rsidRPr="008749B9">
        <w:t xml:space="preserve">, vistas y días sin </w:t>
      </w:r>
      <w:proofErr w:type="spellStart"/>
      <w:r w:rsidRPr="008749B9">
        <w:t>login</w:t>
      </w:r>
      <w:proofErr w:type="spellEnd"/>
      <w:r w:rsidRPr="008749B9">
        <w:t xml:space="preserve">) presentan </w:t>
      </w:r>
      <w:r w:rsidRPr="008749B9">
        <w:rPr>
          <w:rStyle w:val="Strong"/>
        </w:rPr>
        <w:t>alta variabilidad y presencia de valores extremos</w:t>
      </w:r>
      <w:r w:rsidRPr="008749B9">
        <w:t>, especialmente en vistas, lo que indica comportamientos diferentes en el uso de la plataforma. De esta forma, los resultados sugieren una base de clientes diversa, donde algunos usuarios muestran alta actividad mientras otros presentan patrones de uso más limitados, lo cual puede ser relevante para explicar la deserción.</w:t>
      </w:r>
    </w:p>
    <w:p w14:paraId="3544EBC0" w14:textId="77777777" w:rsidR="00DF34DB" w:rsidRDefault="00DF34DB" w:rsidP="004230BE">
      <w:pPr>
        <w:jc w:val="both"/>
      </w:pPr>
    </w:p>
    <w:p w14:paraId="3014FF57" w14:textId="77777777" w:rsidR="00DF34DB" w:rsidRDefault="00DF34DB" w:rsidP="004230BE">
      <w:pPr>
        <w:jc w:val="both"/>
      </w:pPr>
    </w:p>
    <w:p w14:paraId="3094773C" w14:textId="77777777" w:rsidR="00DF34DB" w:rsidRPr="008749B9" w:rsidRDefault="00DF34DB" w:rsidP="004230BE">
      <w:pPr>
        <w:jc w:val="both"/>
      </w:pPr>
      <w:r>
        <w:t xml:space="preserve">Ahora bien, para resolver el caso, se </w:t>
      </w:r>
      <w:r w:rsidRPr="008749B9">
        <w:t xml:space="preserve">decidió utilizar un modelo </w:t>
      </w:r>
      <w:proofErr w:type="spellStart"/>
      <w:r w:rsidRPr="008749B9">
        <w:t>Logit</w:t>
      </w:r>
      <w:proofErr w:type="spellEnd"/>
      <w:r>
        <w:t xml:space="preserve">  (Tabla 2)</w:t>
      </w:r>
      <w:r w:rsidRPr="008749B9">
        <w:t>, debido a que la variable dependiente “</w:t>
      </w:r>
      <w:proofErr w:type="spellStart"/>
      <w:r w:rsidRPr="008749B9">
        <w:t>churn</w:t>
      </w:r>
      <w:proofErr w:type="spellEnd"/>
      <w:r w:rsidRPr="008749B9">
        <w:t xml:space="preserve">” es binaria (0= no deserta, 1= deserta), por lo que la regresión lineal normal no es la </w:t>
      </w:r>
      <w:proofErr w:type="spellStart"/>
      <w:r w:rsidRPr="008749B9">
        <w:t>mas</w:t>
      </w:r>
      <w:proofErr w:type="spellEnd"/>
      <w:r w:rsidRPr="008749B9">
        <w:t xml:space="preserve"> apropiada. Con el modelo logia estima la probabilidad de que un cliente abandone la empresa en función de sus características.</w:t>
      </w:r>
      <w:bookmarkEnd w:id="0"/>
    </w:p>
    <w:p w14:paraId="4AAF0F57" w14:textId="77777777" w:rsidR="00DF34DB" w:rsidRPr="004230BE" w:rsidRDefault="00DF34DB" w:rsidP="004230BE">
      <w:pPr>
        <w:pStyle w:val="Heading2"/>
        <w:jc w:val="both"/>
        <w:rPr>
          <w:rFonts w:ascii="Times New Roman" w:hAnsi="Times New Roman" w:cs="Times New Roman"/>
          <w:i/>
          <w:iCs/>
          <w:color w:val="000000" w:themeColor="text1"/>
          <w:sz w:val="24"/>
          <w:szCs w:val="24"/>
        </w:rPr>
      </w:pPr>
      <w:r w:rsidRPr="004230BE">
        <w:rPr>
          <w:rFonts w:ascii="Times New Roman" w:hAnsi="Times New Roman" w:cs="Times New Roman"/>
          <w:i/>
          <w:iCs/>
          <w:color w:val="000000" w:themeColor="text1"/>
          <w:sz w:val="24"/>
          <w:szCs w:val="24"/>
        </w:rPr>
        <w:lastRenderedPageBreak/>
        <w:t xml:space="preserve">Tabla 2. Modelo </w:t>
      </w:r>
      <w:proofErr w:type="spellStart"/>
      <w:r w:rsidRPr="004230BE">
        <w:rPr>
          <w:rFonts w:ascii="Times New Roman" w:hAnsi="Times New Roman" w:cs="Times New Roman"/>
          <w:i/>
          <w:iCs/>
          <w:color w:val="000000" w:themeColor="text1"/>
          <w:sz w:val="24"/>
          <w:szCs w:val="24"/>
        </w:rPr>
        <w:t>Logit</w:t>
      </w:r>
      <w:proofErr w:type="spellEnd"/>
      <w:r w:rsidRPr="004230BE">
        <w:rPr>
          <w:rFonts w:ascii="Times New Roman" w:hAnsi="Times New Roman" w:cs="Times New Roman"/>
          <w:i/>
          <w:iCs/>
          <w:color w:val="000000" w:themeColor="text1"/>
          <w:sz w:val="24"/>
          <w:szCs w:val="24"/>
        </w:rPr>
        <w:t xml:space="preserve"> - Variable Dependiente: Churn</w:t>
      </w:r>
    </w:p>
    <w:tbl>
      <w:tblPr>
        <w:tblW w:w="0" w:type="auto"/>
        <w:jc w:val="center"/>
        <w:tblLayout w:type="fixed"/>
        <w:tblLook w:val="0420" w:firstRow="1" w:lastRow="0" w:firstColumn="0" w:lastColumn="0" w:noHBand="0" w:noVBand="1"/>
      </w:tblPr>
      <w:tblGrid>
        <w:gridCol w:w="2942"/>
        <w:gridCol w:w="1596"/>
        <w:gridCol w:w="1951"/>
        <w:gridCol w:w="1780"/>
        <w:gridCol w:w="1181"/>
        <w:gridCol w:w="1080"/>
      </w:tblGrid>
      <w:tr w:rsidR="00DF34DB" w:rsidRPr="008749B9" w14:paraId="08931561" w14:textId="77777777" w:rsidTr="004A7F04">
        <w:trPr>
          <w:tblHeader/>
          <w:jc w:val="center"/>
        </w:trPr>
        <w:tc>
          <w:tcPr>
            <w:tcW w:w="29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EC4E94"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Variable</w:t>
            </w:r>
          </w:p>
        </w:tc>
        <w:tc>
          <w:tcPr>
            <w:tcW w:w="15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8F52AA"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Coeficiente</w:t>
            </w:r>
          </w:p>
        </w:tc>
        <w:tc>
          <w:tcPr>
            <w:tcW w:w="19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6327DE"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Error Estándar</w:t>
            </w:r>
          </w:p>
        </w:tc>
        <w:tc>
          <w:tcPr>
            <w:tcW w:w="17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FD1689"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Estadístico Z</w:t>
            </w:r>
          </w:p>
        </w:tc>
        <w:tc>
          <w:tcPr>
            <w:tcW w:w="11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66A0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p-</w:t>
            </w:r>
            <w:proofErr w:type="spellStart"/>
            <w:r w:rsidRPr="008749B9">
              <w:rPr>
                <w:rFonts w:eastAsia="Helvetica"/>
                <w:b/>
                <w:color w:val="000000"/>
                <w:sz w:val="22"/>
                <w:szCs w:val="22"/>
              </w:rPr>
              <w:t>value</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2E4ED5"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b/>
                <w:color w:val="000000"/>
                <w:sz w:val="22"/>
                <w:szCs w:val="22"/>
              </w:rPr>
            </w:pPr>
            <w:r w:rsidRPr="008749B9">
              <w:rPr>
                <w:rFonts w:eastAsia="Helvetica"/>
                <w:b/>
                <w:color w:val="000000"/>
                <w:sz w:val="22"/>
                <w:szCs w:val="22"/>
              </w:rPr>
              <w:t>Sig.</w:t>
            </w:r>
          </w:p>
        </w:tc>
      </w:tr>
      <w:tr w:rsidR="00DF34DB" w:rsidRPr="008749B9" w14:paraId="1D800B72" w14:textId="77777777" w:rsidTr="004A7F04">
        <w:trPr>
          <w:jc w:val="center"/>
        </w:trPr>
        <w:tc>
          <w:tcPr>
            <w:tcW w:w="29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CF1B"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Intercepto</w:t>
            </w:r>
          </w:p>
        </w:tc>
        <w:tc>
          <w:tcPr>
            <w:tcW w:w="15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1005E"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-2.7608</w:t>
            </w:r>
          </w:p>
        </w:tc>
        <w:tc>
          <w:tcPr>
            <w:tcW w:w="19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813E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0.1059</w:t>
            </w:r>
          </w:p>
        </w:tc>
        <w:tc>
          <w:tcPr>
            <w:tcW w:w="17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F70CA"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-26.07</w:t>
            </w:r>
          </w:p>
        </w:tc>
        <w:tc>
          <w:tcPr>
            <w:tcW w:w="11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6A4F5"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35852"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w:t>
            </w:r>
          </w:p>
        </w:tc>
      </w:tr>
      <w:tr w:rsidR="00DF34DB" w:rsidRPr="008749B9" w14:paraId="123F393A"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3DD1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Edad del cliente (meses)</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5C2E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0.0126</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2E1F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0.0054</w:t>
            </w:r>
          </w:p>
        </w:tc>
        <w:tc>
          <w:tcPr>
            <w:tcW w:w="1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2EC71"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5514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0.0190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B699A"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w:t>
            </w:r>
          </w:p>
        </w:tc>
      </w:tr>
      <w:tr w:rsidR="00DF34DB" w:rsidRPr="008749B9" w14:paraId="4FD24498"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31859"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CHI Score (mes 0)</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9E39A"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-0.0046</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D598B"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0.0012</w:t>
            </w:r>
          </w:p>
        </w:tc>
        <w:tc>
          <w:tcPr>
            <w:tcW w:w="1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1181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-3.87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60816"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13D1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w:t>
            </w:r>
          </w:p>
        </w:tc>
      </w:tr>
      <w:tr w:rsidR="00DF34DB" w:rsidRPr="008749B9" w14:paraId="3DC6F3A8"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E6AD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Cambio CHI Score</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66C7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-0.0104</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CC6D6"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0.0024</w:t>
            </w:r>
          </w:p>
        </w:tc>
        <w:tc>
          <w:tcPr>
            <w:tcW w:w="1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C7E6"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-4.32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59952"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7C5AB"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w:t>
            </w:r>
          </w:p>
        </w:tc>
      </w:tr>
      <w:tr w:rsidR="00DF34DB" w:rsidRPr="008749B9" w14:paraId="089AF601"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E594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Casos de soporte (mes 0)</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3220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-0.1369</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D3359"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0.0718</w:t>
            </w:r>
          </w:p>
        </w:tc>
        <w:tc>
          <w:tcPr>
            <w:tcW w:w="1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797C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-1.91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67AD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0.0563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38A3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w:t>
            </w:r>
          </w:p>
        </w:tc>
      </w:tr>
      <w:tr w:rsidR="00DF34DB" w:rsidRPr="008749B9" w14:paraId="59081DB1"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C4A29"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Cambio casos de soporte</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5D529"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0.1329</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F41FD"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0.0640</w:t>
            </w:r>
          </w:p>
        </w:tc>
        <w:tc>
          <w:tcPr>
            <w:tcW w:w="1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35451"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64CE4"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0.0379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099C5"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w:t>
            </w:r>
          </w:p>
        </w:tc>
      </w:tr>
      <w:tr w:rsidR="00DF34DB" w:rsidRPr="008749B9" w14:paraId="7CEA02DF"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7E459"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 xml:space="preserve">Cambio en </w:t>
            </w:r>
            <w:proofErr w:type="spellStart"/>
            <w:r w:rsidRPr="008749B9">
              <w:rPr>
                <w:rFonts w:eastAsia="Helvetica"/>
                <w:color w:val="000000"/>
                <w:sz w:val="22"/>
                <w:szCs w:val="22"/>
              </w:rPr>
              <w:t>logins</w:t>
            </w:r>
            <w:proofErr w:type="spellEnd"/>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FE40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0.0002</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BB524"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0.0021</w:t>
            </w:r>
          </w:p>
        </w:tc>
        <w:tc>
          <w:tcPr>
            <w:tcW w:w="1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0DC5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1497A"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0.9056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C815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p>
        </w:tc>
      </w:tr>
      <w:tr w:rsidR="00DF34DB" w:rsidRPr="008749B9" w14:paraId="34AA2D4F" w14:textId="77777777" w:rsidTr="004A7F04">
        <w:trPr>
          <w:jc w:val="center"/>
        </w:trPr>
        <w:tc>
          <w:tcPr>
            <w:tcW w:w="2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D2E48"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Cambio en vistas</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55101"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-0.0001</w:t>
            </w:r>
          </w:p>
        </w:tc>
        <w:tc>
          <w:tcPr>
            <w:tcW w:w="1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16CD5"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0.0000</w:t>
            </w:r>
          </w:p>
        </w:tc>
        <w:tc>
          <w:tcPr>
            <w:tcW w:w="1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8D637"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-2.73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E9D4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36C9B"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w:t>
            </w:r>
          </w:p>
        </w:tc>
      </w:tr>
      <w:tr w:rsidR="00DF34DB" w:rsidRPr="008749B9" w14:paraId="0C2B6149" w14:textId="77777777" w:rsidTr="004A7F04">
        <w:trPr>
          <w:jc w:val="center"/>
        </w:trPr>
        <w:tc>
          <w:tcPr>
            <w:tcW w:w="29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98EF9C"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 xml:space="preserve">Cambio días sin </w:t>
            </w:r>
            <w:proofErr w:type="spellStart"/>
            <w:r w:rsidRPr="008749B9">
              <w:rPr>
                <w:rFonts w:eastAsia="Helvetica"/>
                <w:color w:val="000000"/>
                <w:sz w:val="22"/>
                <w:szCs w:val="22"/>
              </w:rPr>
              <w:t>login</w:t>
            </w:r>
            <w:proofErr w:type="spellEnd"/>
          </w:p>
        </w:tc>
        <w:tc>
          <w:tcPr>
            <w:tcW w:w="15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2D318E"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0.0172</w:t>
            </w:r>
          </w:p>
        </w:tc>
        <w:tc>
          <w:tcPr>
            <w:tcW w:w="19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2CE0E"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0.0043</w:t>
            </w:r>
          </w:p>
        </w:tc>
        <w:tc>
          <w:tcPr>
            <w:tcW w:w="17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7D52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4.02</w:t>
            </w:r>
          </w:p>
        </w:tc>
        <w:tc>
          <w:tcPr>
            <w:tcW w:w="11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F888B0"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0.0001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A0B423"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w:t>
            </w:r>
          </w:p>
        </w:tc>
      </w:tr>
      <w:tr w:rsidR="00DF34DB" w:rsidRPr="008749B9" w14:paraId="66C19E2A" w14:textId="77777777" w:rsidTr="004A7F04">
        <w:trPr>
          <w:jc w:val="center"/>
        </w:trPr>
        <w:tc>
          <w:tcPr>
            <w:tcW w:w="10530" w:type="dxa"/>
            <w:gridSpan w:val="6"/>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FD454" w14:textId="77777777" w:rsidR="00DF34DB" w:rsidRPr="008749B9" w:rsidRDefault="00DF34DB" w:rsidP="004230BE">
            <w:pPr>
              <w:pBdr>
                <w:top w:val="none" w:sz="0" w:space="0" w:color="000000"/>
                <w:left w:val="none" w:sz="0" w:space="0" w:color="000000"/>
                <w:bottom w:val="none" w:sz="0" w:space="0" w:color="000000"/>
                <w:right w:val="none" w:sz="0" w:space="0" w:color="000000"/>
              </w:pBdr>
              <w:spacing w:before="100" w:after="100"/>
              <w:ind w:left="100" w:right="100"/>
              <w:jc w:val="both"/>
              <w:rPr>
                <w:rFonts w:eastAsia="Helvetica"/>
                <w:color w:val="000000"/>
                <w:sz w:val="22"/>
                <w:szCs w:val="22"/>
              </w:rPr>
            </w:pPr>
            <w:r w:rsidRPr="008749B9">
              <w:rPr>
                <w:rFonts w:eastAsia="Helvetica"/>
                <w:color w:val="000000"/>
                <w:sz w:val="22"/>
                <w:szCs w:val="22"/>
              </w:rPr>
              <w:t>Nota: *** p&lt;0.001  ** p&lt;0.01  * p&lt;0.05  . p&lt;0.1</w:t>
            </w:r>
            <w:r w:rsidRPr="008749B9">
              <w:rPr>
                <w:rFonts w:eastAsia="Helvetica"/>
                <w:color w:val="000000"/>
                <w:sz w:val="22"/>
                <w:szCs w:val="22"/>
              </w:rPr>
              <w:br/>
              <w:t>McFadden R² = 0.0439387489527788   |   N = 6347</w:t>
            </w:r>
          </w:p>
        </w:tc>
      </w:tr>
    </w:tbl>
    <w:p w14:paraId="2CDD90A5" w14:textId="77777777" w:rsidR="00DF34DB" w:rsidRPr="008749B9" w:rsidRDefault="00DF34DB" w:rsidP="004230BE">
      <w:pPr>
        <w:jc w:val="both"/>
        <w:rPr>
          <w:sz w:val="22"/>
          <w:szCs w:val="22"/>
        </w:rPr>
      </w:pPr>
      <w:r w:rsidRPr="008749B9">
        <w:rPr>
          <w:sz w:val="22"/>
          <w:szCs w:val="22"/>
        </w:rPr>
        <w:t xml:space="preserve">El McFadden R² = 0.0439387489527788 indica que el modelo explica aproximadamente el 4.4% de la variación en la deserción. </w:t>
      </w:r>
    </w:p>
    <w:p w14:paraId="4B02C62F" w14:textId="77777777" w:rsidR="00DF34DB" w:rsidRPr="008749B9" w:rsidRDefault="00DF34DB" w:rsidP="004230BE">
      <w:pPr>
        <w:jc w:val="both"/>
      </w:pPr>
    </w:p>
    <w:p w14:paraId="4479D469" w14:textId="77777777" w:rsidR="00DF34DB" w:rsidRPr="008749B9" w:rsidRDefault="00DF34DB" w:rsidP="004230BE">
      <w:pPr>
        <w:jc w:val="both"/>
      </w:pPr>
      <w:r>
        <w:t>Es importante mencionar que e</w:t>
      </w:r>
      <w:r w:rsidRPr="008749B9">
        <w:t>l modelo se estimó sobre los 6.347 registros disponibles e incorporo ocho variables independientes que capturan distintas dimensiones del comportamiento y perfil del cliente: antigüedad en la empresa, nivel de satisfacción que se mide por medio del “</w:t>
      </w:r>
      <w:proofErr w:type="spellStart"/>
      <w:r w:rsidRPr="008749B9">
        <w:t>Customer</w:t>
      </w:r>
      <w:proofErr w:type="spellEnd"/>
      <w:r w:rsidRPr="008749B9">
        <w:t xml:space="preserve"> Health </w:t>
      </w:r>
      <w:proofErr w:type="spellStart"/>
      <w:r w:rsidRPr="008749B9">
        <w:t>Index</w:t>
      </w:r>
      <w:proofErr w:type="spellEnd"/>
      <w:r w:rsidRPr="008749B9">
        <w:t xml:space="preserve">” (CHI), historial de soporte técnico y grado de interacción con la plataforma los resultados obtenidos se observan en la Tabla 1.2.2. </w:t>
      </w:r>
    </w:p>
    <w:p w14:paraId="10D6AA19" w14:textId="77777777" w:rsidR="00DF34DB" w:rsidRPr="008749B9" w:rsidRDefault="00DF34DB" w:rsidP="004230BE">
      <w:pPr>
        <w:jc w:val="both"/>
      </w:pPr>
    </w:p>
    <w:p w14:paraId="16482E6B" w14:textId="77777777" w:rsidR="00DF34DB" w:rsidRPr="008749B9" w:rsidRDefault="00DF34DB" w:rsidP="004230BE">
      <w:pPr>
        <w:jc w:val="both"/>
      </w:pPr>
      <w:r>
        <w:t>De acuerdo a los resultados obtenidos (Tabla 2), de</w:t>
      </w:r>
      <w:r w:rsidRPr="008749B9">
        <w:t xml:space="preserve"> las ocho variables que se incluyeron en el modelo, seis resultaron estadísticamente significativas al 5% o Superior. Las variables que obtuvieron un mayor nivel de significancia (p-</w:t>
      </w:r>
      <w:proofErr w:type="spellStart"/>
      <w:r w:rsidRPr="008749B9">
        <w:t>value</w:t>
      </w:r>
      <w:proofErr w:type="spellEnd"/>
      <w:r w:rsidRPr="008749B9">
        <w:t xml:space="preserve"> &lt; 0.001) son el CHI escore, el cambio en el CHI escoré y el cambio en los días sin inicio de sesión, lo cual indica que estas variables son las </w:t>
      </w:r>
      <w:proofErr w:type="spellStart"/>
      <w:r w:rsidRPr="008749B9">
        <w:t>mas</w:t>
      </w:r>
      <w:proofErr w:type="spellEnd"/>
      <w:r w:rsidRPr="008749B9">
        <w:t xml:space="preserve"> indicadas para identificar clientes en riesgo de deserción. El cambio en el número de visitas resulto ser significativo al 1% (p-</w:t>
      </w:r>
      <w:proofErr w:type="spellStart"/>
      <w:r w:rsidRPr="008749B9">
        <w:t>value</w:t>
      </w:r>
      <w:proofErr w:type="spellEnd"/>
      <w:r w:rsidRPr="008749B9">
        <w:t xml:space="preserve"> &lt; 0.01), mientras que la edad del cliente y el cambio en los casos de soporte alcanzaron el umbral del 5%.</w:t>
      </w:r>
    </w:p>
    <w:p w14:paraId="6A296E39" w14:textId="77777777" w:rsidR="00DF34DB" w:rsidRPr="008749B9" w:rsidRDefault="00DF34DB" w:rsidP="004230BE">
      <w:pPr>
        <w:jc w:val="both"/>
      </w:pPr>
    </w:p>
    <w:p w14:paraId="5276791E" w14:textId="77777777" w:rsidR="00DF34DB" w:rsidRPr="008749B9" w:rsidRDefault="00DF34DB" w:rsidP="004230BE">
      <w:pPr>
        <w:jc w:val="both"/>
      </w:pPr>
      <w:r w:rsidRPr="008749B9">
        <w:t xml:space="preserve">Los signos de los coeficientes son acordes teniendo en cuenta la lógica de negocio y permiten sacar conclusiones accionables. El coeficiente del CHI Score inicial (-0.0046) y el de su cambio (-0.0104) son negativos y significativos, lo que indica que los clientes que tienen una mayor satisfacción y aquellos que su satisfacción mejora con el tiempo tienen una </w:t>
      </w:r>
      <w:proofErr w:type="spellStart"/>
      <w:r w:rsidRPr="008749B9">
        <w:t>mas</w:t>
      </w:r>
      <w:proofErr w:type="spellEnd"/>
      <w:r w:rsidRPr="008749B9">
        <w:t xml:space="preserve"> alta probabilidad de abandonar la empresa. Esto respalda el uso del CHI Score como indicador temprano de riesgo: una caída en este índice debe activar las alertas de retención de forma proactiva. </w:t>
      </w:r>
    </w:p>
    <w:p w14:paraId="261149C5" w14:textId="77777777" w:rsidR="00DF34DB" w:rsidRPr="008749B9" w:rsidRDefault="00DF34DB" w:rsidP="004230BE">
      <w:pPr>
        <w:jc w:val="both"/>
      </w:pPr>
    </w:p>
    <w:p w14:paraId="0047C431" w14:textId="77777777" w:rsidR="00DF34DB" w:rsidRPr="008749B9" w:rsidRDefault="00DF34DB" w:rsidP="004230BE">
      <w:pPr>
        <w:jc w:val="both"/>
      </w:pPr>
      <w:r w:rsidRPr="008749B9">
        <w:t xml:space="preserve">El coeficiente asociado al cambio de los días sin </w:t>
      </w:r>
      <w:proofErr w:type="spellStart"/>
      <w:r w:rsidRPr="008749B9">
        <w:t>login</w:t>
      </w:r>
      <w:proofErr w:type="spellEnd"/>
      <w:r w:rsidRPr="008749B9">
        <w:t xml:space="preserve"> (0.0172) es altamente significativo, lo que confirma que la inactividad en la plataforma resulta ser una señal de desvinculación. Al igual que el incremento en los casos de soporte (0.1329) aumenta la </w:t>
      </w:r>
      <w:r w:rsidRPr="008749B9">
        <w:lastRenderedPageBreak/>
        <w:t>probabilidad de deserción, lo cual sugiere que la acumulación de problemas técnicos no resueltos degrada la experiencia del cliente por lo que aumenta la posibilidad de abandonar el servicio.</w:t>
      </w:r>
    </w:p>
    <w:p w14:paraId="5C3E3310" w14:textId="77777777" w:rsidR="00DF34DB" w:rsidRPr="008749B9" w:rsidRDefault="00DF34DB" w:rsidP="004230BE">
      <w:pPr>
        <w:jc w:val="both"/>
      </w:pPr>
    </w:p>
    <w:p w14:paraId="5939CD8C" w14:textId="77777777" w:rsidR="00DF34DB" w:rsidRPr="008749B9" w:rsidRDefault="00DF34DB" w:rsidP="004230BE">
      <w:pPr>
        <w:jc w:val="both"/>
      </w:pPr>
      <w:r w:rsidRPr="008749B9">
        <w:t xml:space="preserve">Al realizar el ajuste del R^2 de McFadden, es una medida análoga adaptada para este tipo de modelo. El valor obtenido fue de 0.044, lo cual se puede considerar modesto. Sin embargo, cuando se trata del modelo </w:t>
      </w:r>
      <w:proofErr w:type="spellStart"/>
      <w:r w:rsidRPr="008749B9">
        <w:t>logit</w:t>
      </w:r>
      <w:proofErr w:type="spellEnd"/>
      <w:r w:rsidRPr="008749B9">
        <w:t xml:space="preserve"> aplicados a datos de comportamiento humano los valores entre 0.02 y 0.10 son aceptables y típicos. Por lo que en este modelo que cuenta con seis variables significativas representa un modelo estadísticamente valido y con alta capacidad predictiva real.</w:t>
      </w:r>
    </w:p>
    <w:p w14:paraId="198F48D5" w14:textId="77777777" w:rsidR="00DF34DB" w:rsidRPr="008749B9" w:rsidRDefault="00DF34DB" w:rsidP="004230BE">
      <w:pPr>
        <w:jc w:val="both"/>
      </w:pPr>
    </w:p>
    <w:p w14:paraId="28E9C61B" w14:textId="77777777" w:rsidR="00DF34DB" w:rsidRPr="00342388" w:rsidRDefault="00DF34DB" w:rsidP="004230BE">
      <w:pPr>
        <w:jc w:val="both"/>
      </w:pPr>
      <w:r w:rsidRPr="008749B9">
        <w:t>Los resultados obtenidos en este modelo permiten que se identifiquen tres señales de alerta temprana que la empresa debería monitorear</w:t>
      </w:r>
      <w:r w:rsidRPr="00342388">
        <w:t xml:space="preserve"> de forma sistemática para anticipar la deserción de clientes. Lo primero es que una caída en el CHI Score que resulto ser el mejor predictor. Segundo, el aumento en los días sin </w:t>
      </w:r>
      <w:proofErr w:type="spellStart"/>
      <w:r w:rsidRPr="00342388">
        <w:t>login</w:t>
      </w:r>
      <w:proofErr w:type="spellEnd"/>
      <w:r w:rsidRPr="00342388">
        <w:t xml:space="preserve"> son una señal de abandono del servicio. Tercero el incremento en los tickets de soporte abiertos indica un deterioro en la experiencia lo que requiere intervención. </w:t>
      </w:r>
    </w:p>
    <w:p w14:paraId="2B61D286" w14:textId="77777777" w:rsidR="00DF34DB" w:rsidRPr="00342388" w:rsidRDefault="00DF34DB" w:rsidP="004230BE">
      <w:pPr>
        <w:jc w:val="both"/>
      </w:pPr>
    </w:p>
    <w:p w14:paraId="62D63AEA" w14:textId="77777777" w:rsidR="00DF34DB" w:rsidRDefault="00DF34DB" w:rsidP="004230BE">
      <w:pPr>
        <w:jc w:val="both"/>
      </w:pPr>
      <w:r>
        <w:t>Así pues, e</w:t>
      </w:r>
      <w:r w:rsidRPr="00342388">
        <w:t xml:space="preserve">ste modelo da una base </w:t>
      </w:r>
      <w:proofErr w:type="spellStart"/>
      <w:r w:rsidRPr="00342388">
        <w:t>solida</w:t>
      </w:r>
      <w:proofErr w:type="spellEnd"/>
      <w:r w:rsidRPr="00342388">
        <w:t xml:space="preserve"> para priorizar la retención, para que los equipos encargados dirijan recursos a aquellos clientes que tienen mayor probabilidad de deserción antes de que la decisión de abandono sea definitiva.</w:t>
      </w:r>
    </w:p>
    <w:p w14:paraId="4F9F13D9" w14:textId="77777777" w:rsidR="00DF34DB" w:rsidRDefault="00DF34DB" w:rsidP="004230BE">
      <w:pPr>
        <w:jc w:val="both"/>
      </w:pPr>
    </w:p>
    <w:p w14:paraId="24C95ACE" w14:textId="77777777" w:rsidR="00DF34DB" w:rsidRPr="00342388" w:rsidRDefault="00DF34DB" w:rsidP="004230BE">
      <w:pPr>
        <w:jc w:val="both"/>
      </w:pPr>
    </w:p>
    <w:p w14:paraId="5BAD44AF" w14:textId="77777777" w:rsidR="00DF34DB" w:rsidRPr="008749B9" w:rsidRDefault="00DF34DB" w:rsidP="004230BE">
      <w:pPr>
        <w:jc w:val="both"/>
        <w:rPr>
          <w:b/>
          <w:bCs/>
          <w:i/>
          <w:iCs/>
        </w:rPr>
      </w:pPr>
      <w:r w:rsidRPr="008749B9">
        <w:rPr>
          <w:b/>
          <w:bCs/>
          <w:i/>
          <w:iCs/>
        </w:rPr>
        <w:t>Gráfica 1. Matriz de Confusión</w:t>
      </w:r>
    </w:p>
    <w:p w14:paraId="2130E217" w14:textId="77777777" w:rsidR="00DF34DB" w:rsidRPr="00342388" w:rsidRDefault="00DF34DB" w:rsidP="004230BE">
      <w:pPr>
        <w:jc w:val="both"/>
      </w:pPr>
    </w:p>
    <w:p w14:paraId="6B5E5123" w14:textId="77777777" w:rsidR="00DF34DB" w:rsidRDefault="00DF34DB" w:rsidP="004230BE">
      <w:pPr>
        <w:jc w:val="both"/>
      </w:pPr>
      <w:r>
        <w:rPr>
          <w:noProof/>
        </w:rPr>
        <w:drawing>
          <wp:inline distT="0" distB="0" distL="0" distR="0" wp14:anchorId="54B51A9F" wp14:editId="22BF9A4C">
            <wp:extent cx="4529666" cy="3397499"/>
            <wp:effectExtent l="0" t="0" r="4445" b="6350"/>
            <wp:docPr id="283495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9531" name="Imagen 283495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44085" cy="3408314"/>
                    </a:xfrm>
                    <a:prstGeom prst="rect">
                      <a:avLst/>
                    </a:prstGeom>
                  </pic:spPr>
                </pic:pic>
              </a:graphicData>
            </a:graphic>
          </wp:inline>
        </w:drawing>
      </w:r>
    </w:p>
    <w:p w14:paraId="1C5BA22E" w14:textId="77777777" w:rsidR="00DF34DB" w:rsidRPr="002B1D64" w:rsidRDefault="00DF34DB" w:rsidP="004230BE">
      <w:pPr>
        <w:pStyle w:val="p1"/>
        <w:jc w:val="both"/>
        <w:rPr>
          <w:color w:val="000000" w:themeColor="text1"/>
        </w:rPr>
      </w:pPr>
      <w:r w:rsidRPr="002B1D64">
        <w:rPr>
          <w:i/>
          <w:iCs/>
          <w:color w:val="000000" w:themeColor="text1"/>
        </w:rPr>
        <w:t>VP = Verdaderos Positivos (desertores detectados). VN = Verdaderos Negativos. FP = Falsos Positivos (alarmas falsas). FN = Falsos</w:t>
      </w:r>
    </w:p>
    <w:p w14:paraId="026978EF" w14:textId="77777777" w:rsidR="00DF34DB" w:rsidRPr="002B1D64" w:rsidRDefault="00DF34DB" w:rsidP="004230BE">
      <w:pPr>
        <w:pStyle w:val="p1"/>
        <w:jc w:val="both"/>
        <w:rPr>
          <w:color w:val="000000" w:themeColor="text1"/>
        </w:rPr>
      </w:pPr>
      <w:r w:rsidRPr="002B1D64">
        <w:rPr>
          <w:i/>
          <w:iCs/>
          <w:color w:val="000000" w:themeColor="text1"/>
        </w:rPr>
        <w:t>Negativos (desertores no detectados).</w:t>
      </w:r>
    </w:p>
    <w:p w14:paraId="23512179" w14:textId="77777777" w:rsidR="00DF34DB" w:rsidRDefault="00DF34DB" w:rsidP="004230BE">
      <w:pPr>
        <w:jc w:val="both"/>
      </w:pPr>
    </w:p>
    <w:p w14:paraId="7A7DDEB8" w14:textId="77777777" w:rsidR="00DF34DB" w:rsidRDefault="00DF34DB" w:rsidP="004230BE">
      <w:pPr>
        <w:jc w:val="both"/>
      </w:pPr>
      <w:r>
        <w:t xml:space="preserve">Con respecto a los resultados obtenidos en la matriz de confusión (gráfica 1), se puede interpretar lo siguiente: </w:t>
      </w:r>
    </w:p>
    <w:p w14:paraId="49D63FCA" w14:textId="77777777" w:rsidR="00DF34DB" w:rsidRDefault="00DF34DB" w:rsidP="004230BE">
      <w:pPr>
        <w:pStyle w:val="NormalWeb"/>
        <w:jc w:val="both"/>
      </w:pPr>
      <w:r w:rsidRPr="002B1D64">
        <w:rPr>
          <w:u w:val="single"/>
        </w:rPr>
        <w:lastRenderedPageBreak/>
        <w:t>Verdaderos Positivos (VP = 149, 2.3%):</w:t>
      </w:r>
      <w:r>
        <w:t xml:space="preserve"> El modelo identifico correctamente 149 de los 323 desertores reales. Estos son los clientes que el equipo de Wall puede contactar proactivamente. Representan el 46.1% de todos los desertores (sensibilidad = 46.1%).</w:t>
      </w:r>
    </w:p>
    <w:p w14:paraId="3B5A0778" w14:textId="77777777" w:rsidR="00DF34DB" w:rsidRDefault="00DF34DB" w:rsidP="004230BE">
      <w:pPr>
        <w:pStyle w:val="NormalWeb"/>
        <w:jc w:val="both"/>
      </w:pPr>
      <w:r w:rsidRPr="002B1D64">
        <w:rPr>
          <w:u w:val="single"/>
        </w:rPr>
        <w:t>Verdaderos Negativos (VN = 4,895, 77.1%):</w:t>
      </w:r>
      <w:r>
        <w:t xml:space="preserve"> 4,895 clientes fueron correctamente clasificados como no desertores. El modelo no genera esfuerzo innecesario del equipo de retención para estos clientes.</w:t>
      </w:r>
    </w:p>
    <w:p w14:paraId="07DD4D54" w14:textId="77777777" w:rsidR="00DF34DB" w:rsidRDefault="00DF34DB" w:rsidP="004230BE">
      <w:pPr>
        <w:pStyle w:val="NormalWeb"/>
        <w:jc w:val="both"/>
      </w:pPr>
      <w:r w:rsidRPr="002B1D64">
        <w:rPr>
          <w:u w:val="single"/>
        </w:rPr>
        <w:t>Falsos Positivos (FP = 1,129, 17.8%):</w:t>
      </w:r>
      <w:r>
        <w:t xml:space="preserve"> 1,129 clientes fueron clasificados como en riesgo pero no desertaron. Son alarmas falsas, el equipo los contactaría sin necesidad. Con el umbral de </w:t>
      </w:r>
      <w:proofErr w:type="spellStart"/>
      <w:r>
        <w:t>Youden</w:t>
      </w:r>
      <w:proofErr w:type="spellEnd"/>
      <w:r>
        <w:t>, se acepta este costo para maximizar la detección de desertores reales.</w:t>
      </w:r>
    </w:p>
    <w:p w14:paraId="4FEC54F9" w14:textId="77777777" w:rsidR="00DF34DB" w:rsidRDefault="00DF34DB" w:rsidP="004230BE">
      <w:pPr>
        <w:pStyle w:val="NormalWeb"/>
        <w:jc w:val="both"/>
      </w:pPr>
      <w:r w:rsidRPr="002B1D64">
        <w:rPr>
          <w:u w:val="single"/>
        </w:rPr>
        <w:t>Falsos Negativos (FN = 174, 2.7%):</w:t>
      </w:r>
      <w:r>
        <w:t xml:space="preserve"> 174 desertores reales NO fueron detectados por el modelo. Son el principal punto débil: clientes que abandonaran la empresa sin que el equipo haya intervenido. Reducir los FN es la prioridad de mejora del modelo. Con McFadden R² = 0.044 (ajuste modesto), es esperable que una proporción significativa de desertores no sean capturados.</w:t>
      </w:r>
    </w:p>
    <w:p w14:paraId="3884BCE8" w14:textId="77777777" w:rsidR="00DF34DB" w:rsidRPr="00342388" w:rsidRDefault="00DF34DB" w:rsidP="004230BE">
      <w:pPr>
        <w:jc w:val="both"/>
      </w:pPr>
    </w:p>
    <w:p w14:paraId="32CE100A" w14:textId="48DDC850" w:rsidR="00D47EE4" w:rsidRPr="008749B9" w:rsidRDefault="00D47EE4" w:rsidP="004230BE">
      <w:pPr>
        <w:jc w:val="both"/>
        <w:rPr>
          <w:b/>
          <w:bCs/>
          <w:i/>
          <w:iCs/>
        </w:rPr>
      </w:pPr>
      <w:r w:rsidRPr="008749B9">
        <w:rPr>
          <w:b/>
          <w:bCs/>
          <w:i/>
          <w:iCs/>
        </w:rPr>
        <w:t xml:space="preserve">Gráfica </w:t>
      </w:r>
      <w:r>
        <w:rPr>
          <w:b/>
          <w:bCs/>
          <w:i/>
          <w:iCs/>
        </w:rPr>
        <w:t>2</w:t>
      </w:r>
      <w:r w:rsidRPr="008749B9">
        <w:rPr>
          <w:b/>
          <w:bCs/>
          <w:i/>
          <w:iCs/>
        </w:rPr>
        <w:t xml:space="preserve">. </w:t>
      </w:r>
      <w:r>
        <w:rPr>
          <w:b/>
          <w:bCs/>
          <w:i/>
          <w:iCs/>
        </w:rPr>
        <w:t xml:space="preserve">Gráfica de Errores Modelo </w:t>
      </w:r>
      <w:proofErr w:type="spellStart"/>
      <w:r>
        <w:rPr>
          <w:b/>
          <w:bCs/>
          <w:i/>
          <w:iCs/>
        </w:rPr>
        <w:t>Logit</w:t>
      </w:r>
      <w:proofErr w:type="spellEnd"/>
      <w:r>
        <w:rPr>
          <w:b/>
          <w:bCs/>
          <w:i/>
          <w:iCs/>
        </w:rPr>
        <w:t xml:space="preserve"> </w:t>
      </w:r>
    </w:p>
    <w:p w14:paraId="34975FC4" w14:textId="55BEB18A" w:rsidR="005A103F" w:rsidRDefault="005A103F" w:rsidP="004230BE">
      <w:pPr>
        <w:pStyle w:val="paragraph"/>
        <w:spacing w:before="0" w:beforeAutospacing="0" w:after="0" w:afterAutospacing="0" w:line="276" w:lineRule="auto"/>
        <w:jc w:val="both"/>
        <w:textAlignment w:val="baseline"/>
        <w:rPr>
          <w:b/>
          <w:bCs/>
        </w:rPr>
      </w:pPr>
    </w:p>
    <w:p w14:paraId="59D2403C" w14:textId="2688B9C3" w:rsidR="009430A9" w:rsidRDefault="00D47EE4" w:rsidP="004230BE">
      <w:pPr>
        <w:jc w:val="both"/>
      </w:pPr>
      <w:r>
        <w:rPr>
          <w:noProof/>
        </w:rPr>
        <w:drawing>
          <wp:inline distT="0" distB="0" distL="0" distR="0" wp14:anchorId="664B2A28" wp14:editId="6B5E7BC8">
            <wp:extent cx="5349667" cy="3209549"/>
            <wp:effectExtent l="0" t="0" r="0" b="3810"/>
            <wp:docPr id="1536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059" name="Picture 1536720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5994" cy="3243343"/>
                    </a:xfrm>
                    <a:prstGeom prst="rect">
                      <a:avLst/>
                    </a:prstGeom>
                  </pic:spPr>
                </pic:pic>
              </a:graphicData>
            </a:graphic>
          </wp:inline>
        </w:drawing>
      </w:r>
    </w:p>
    <w:p w14:paraId="4F4D03DF" w14:textId="77777777" w:rsidR="00D47EE4" w:rsidRDefault="00D47EE4" w:rsidP="004230BE">
      <w:pPr>
        <w:jc w:val="both"/>
      </w:pPr>
    </w:p>
    <w:p w14:paraId="3654F9C3" w14:textId="6899BC49" w:rsidR="00D47EE4" w:rsidRPr="009A41D3" w:rsidRDefault="009A41D3" w:rsidP="004230BE">
      <w:pPr>
        <w:pStyle w:val="NormalWeb"/>
        <w:jc w:val="both"/>
      </w:pPr>
      <w:r w:rsidRPr="009A41D3">
        <w:t>El gráfico de errores muestra los residuos, que se calculan como el valor real menos la probabilidad predicha. Como la variable dependiente es binaria, los residuos terminan agrupados en dos zonas bien separadas, lo cual tiene sentido.</w:t>
      </w:r>
    </w:p>
    <w:p w14:paraId="1A98071D" w14:textId="53CDFE95" w:rsidR="009A41D3" w:rsidRPr="009A41D3" w:rsidRDefault="009A41D3" w:rsidP="004230BE">
      <w:pPr>
        <w:pStyle w:val="NormalWeb"/>
        <w:jc w:val="both"/>
      </w:pPr>
      <w:r w:rsidRPr="009A41D3">
        <w:t xml:space="preserve">La </w:t>
      </w:r>
      <w:r w:rsidRPr="009A41D3">
        <w:t>parte</w:t>
      </w:r>
      <w:r w:rsidRPr="009A41D3">
        <w:t xml:space="preserve"> roja, entre –0.25 y 0, corresponde a los clientes que no </w:t>
      </w:r>
      <w:r w:rsidRPr="009A41D3">
        <w:t>abandonaron</w:t>
      </w:r>
      <w:r w:rsidRPr="009A41D3">
        <w:t xml:space="preserve"> (valor real = 0) y a quienes el modelo asignó una probabilidad pequeña pero no nula. Estos errores son chicos, lo que en principio es buena señal</w:t>
      </w:r>
      <w:r w:rsidRPr="009A41D3">
        <w:t xml:space="preserve"> porque esto significa que</w:t>
      </w:r>
      <w:r w:rsidRPr="009A41D3">
        <w:t xml:space="preserve"> el modelo no está sobreestimando masivamente la probabilidad de deserción de los clientes que se quedan. </w:t>
      </w:r>
      <w:r w:rsidRPr="009A41D3">
        <w:lastRenderedPageBreak/>
        <w:t>La gran mayoría de observaciones cae en este grupo</w:t>
      </w:r>
      <w:r w:rsidRPr="009A41D3">
        <w:t xml:space="preserve"> </w:t>
      </w:r>
      <w:r w:rsidRPr="009A41D3">
        <w:t>porque la mayoría de clientes no desertó.</w:t>
      </w:r>
    </w:p>
    <w:p w14:paraId="5555942A" w14:textId="0C00E531" w:rsidR="009A41D3" w:rsidRPr="009A41D3" w:rsidRDefault="009A41D3" w:rsidP="004230BE">
      <w:pPr>
        <w:pStyle w:val="NormalWeb"/>
        <w:jc w:val="both"/>
      </w:pPr>
      <w:r w:rsidRPr="009A41D3">
        <w:t xml:space="preserve">El problema está en la </w:t>
      </w:r>
      <w:r w:rsidRPr="009A41D3">
        <w:t>parte</w:t>
      </w:r>
      <w:r w:rsidRPr="009A41D3">
        <w:t xml:space="preserve"> verde de la derecha, entre 0.85 y 1.0. Estos son los clientes que sí desertaron (valor real = 1) pero a los que el modelo les estimó una probabilidad muy baja, generando un residuo cercano a 1. Aunque numéricamente son pocos (</w:t>
      </w:r>
      <w:r w:rsidRPr="009A41D3">
        <w:t>aproximadamente</w:t>
      </w:r>
      <w:r w:rsidRPr="009A41D3">
        <w:t xml:space="preserve"> 300 casos contra miles en el otro extremo), representan los falsos negativos del modelo: clientes que efectivamente se fueron y que el modelo no logró identificar como riesgosos. Para el objetivo del negocio este es justamente el tipo de error más costoso, porque son clientes que QWE no alcanzó a contactar a tiempo.</w:t>
      </w:r>
    </w:p>
    <w:p w14:paraId="4F21E4AD" w14:textId="19653E4D" w:rsidR="009A41D3" w:rsidRPr="009A41D3" w:rsidRDefault="009A41D3" w:rsidP="004230BE">
      <w:pPr>
        <w:pStyle w:val="NormalWeb"/>
        <w:jc w:val="both"/>
      </w:pPr>
      <w:r w:rsidRPr="009A41D3">
        <w:t xml:space="preserve">Otro detalle interesante es que entre 0 y 0.85 prácticamente no hay observaciones. Esto ocurre porque, como vimos en el gráfico anterior, las probabilidades predichas casi nunca son intermedias o altas: o son muy bajas (residuo cercano a 0) o, cuando el cliente desertó y el modelo no lo predijo, el residuo se va casi a 1. </w:t>
      </w:r>
    </w:p>
    <w:p w14:paraId="4FCA7DED" w14:textId="77777777" w:rsidR="00623248" w:rsidRDefault="00623248" w:rsidP="004230BE">
      <w:pPr>
        <w:jc w:val="both"/>
        <w:rPr>
          <w:b/>
          <w:bCs/>
          <w:i/>
          <w:iCs/>
        </w:rPr>
      </w:pPr>
      <w:r>
        <w:rPr>
          <w:b/>
          <w:bCs/>
          <w:i/>
          <w:iCs/>
        </w:rPr>
        <w:t>Gráfica 3. Probabilidades Predichas vs Valores Reales</w:t>
      </w:r>
    </w:p>
    <w:p w14:paraId="264DC60A" w14:textId="77777777" w:rsidR="00623248" w:rsidRDefault="00623248" w:rsidP="004230BE">
      <w:pPr>
        <w:jc w:val="both"/>
      </w:pPr>
    </w:p>
    <w:p w14:paraId="10B3386A" w14:textId="77777777" w:rsidR="00623248" w:rsidRDefault="00623248" w:rsidP="004230BE">
      <w:pPr>
        <w:jc w:val="both"/>
      </w:pPr>
      <w:r>
        <w:rPr>
          <w:noProof/>
        </w:rPr>
        <w:drawing>
          <wp:inline distT="0" distB="0" distL="0" distR="0" wp14:anchorId="39E49BCA" wp14:editId="0643F9D7">
            <wp:extent cx="5349667" cy="3209549"/>
            <wp:effectExtent l="0" t="0" r="0" b="3810"/>
            <wp:docPr id="153672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060" name="Picture 1536720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5994" cy="3243343"/>
                    </a:xfrm>
                    <a:prstGeom prst="rect">
                      <a:avLst/>
                    </a:prstGeom>
                  </pic:spPr>
                </pic:pic>
              </a:graphicData>
            </a:graphic>
          </wp:inline>
        </w:drawing>
      </w:r>
    </w:p>
    <w:p w14:paraId="4687F8A0" w14:textId="77777777" w:rsidR="00623248" w:rsidRDefault="00623248" w:rsidP="004230BE">
      <w:pPr>
        <w:jc w:val="both"/>
      </w:pPr>
    </w:p>
    <w:p w14:paraId="284B66C0" w14:textId="62EDB1CD" w:rsidR="004230BE" w:rsidRPr="004230BE" w:rsidRDefault="00623248" w:rsidP="004230BE">
      <w:pPr>
        <w:pStyle w:val="NormalWeb"/>
        <w:jc w:val="both"/>
      </w:pPr>
      <w:r>
        <w:t>Lo primero que se ve en este gráfico es que las dos distribuciones están concentradas a la izquierda, casi todas por debajo del 20% de probabilidad estimada</w:t>
      </w:r>
      <w:r w:rsidR="004230BE">
        <w:t>.</w:t>
      </w:r>
      <w:r w:rsidR="004230BE" w:rsidRPr="004230BE">
        <w:t xml:space="preserve"> Esto tiene sentido porque en el caso solo una pequeña parte de los clientes se va, entonces el modelo aprende que lo normal es que no haya deserción. Por eso, casi ningún cliente tiene una probabilidad alta, y ninguno llega a 0.5. Esto muestra que usar ese punto como regla para clasificar no sirve en este caso, porque terminaríamos diciendo que nadie se va. Por eso en el código se buscó un punto de corte más bajo, que se ajuste mejor a este tipo de datos.</w:t>
      </w:r>
    </w:p>
    <w:p w14:paraId="6FB19370" w14:textId="77777777" w:rsidR="004230BE" w:rsidRPr="004230BE" w:rsidRDefault="004230BE" w:rsidP="004230BE">
      <w:pPr>
        <w:pStyle w:val="NormalWeb"/>
        <w:jc w:val="both"/>
      </w:pPr>
      <w:r w:rsidRPr="004230BE">
        <w:t xml:space="preserve">Aun así, la gráfica sí muestra que el modelo está haciendo algo bien. Los clientes que sí desertan tienden a tener probabilidades un poco más altas que los que no, lo que indica que variables como el uso de la plataforma, el CHI o los problemas de soporte sí ayudan </w:t>
      </w:r>
      <w:r w:rsidRPr="004230BE">
        <w:lastRenderedPageBreak/>
        <w:t>a identificar riesgo. Es decir, el modelo logra captar ciertas señales que explican por qué algunos clientes terminan yéndose.</w:t>
      </w:r>
    </w:p>
    <w:p w14:paraId="0A7218AA" w14:textId="77777777" w:rsidR="004230BE" w:rsidRPr="004230BE" w:rsidRDefault="004230BE" w:rsidP="004230BE">
      <w:pPr>
        <w:pStyle w:val="NormalWeb"/>
        <w:jc w:val="both"/>
      </w:pPr>
      <w:r w:rsidRPr="004230BE">
        <w:t>Sin embargo, también hay una parte donde ambos grupos se mezclan bastante, especialmente entre probabilidades de 3% a 10%. En ese rango es difícil distinguir quién se va y quién no, lo que muestra que el modelo no es perfecto para clasificar cliente por cliente. Aun así, sigue siendo útil para ordenar a los clientes según su nivel de riesgo. Y eso es clave en este caso, porque la idea no es acertar todo, sino identificar a los clientes más riesgosos para actuar a tiempo.</w:t>
      </w:r>
    </w:p>
    <w:p w14:paraId="00728E21" w14:textId="5628F7AA" w:rsidR="009A41D3" w:rsidRPr="009A41D3" w:rsidRDefault="009A41D3" w:rsidP="004230BE">
      <w:pPr>
        <w:pStyle w:val="NormalWeb"/>
        <w:jc w:val="both"/>
      </w:pPr>
    </w:p>
    <w:sectPr w:rsidR="009A41D3" w:rsidRPr="009A41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3F"/>
    <w:rsid w:val="00030C25"/>
    <w:rsid w:val="004230BE"/>
    <w:rsid w:val="005A103F"/>
    <w:rsid w:val="00623248"/>
    <w:rsid w:val="00751CFF"/>
    <w:rsid w:val="00845E78"/>
    <w:rsid w:val="009430A9"/>
    <w:rsid w:val="009A41D3"/>
    <w:rsid w:val="00C54A9B"/>
    <w:rsid w:val="00C80F84"/>
    <w:rsid w:val="00D47EE4"/>
    <w:rsid w:val="00DF34DB"/>
    <w:rsid w:val="00F664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3EB6B97"/>
  <w15:chartTrackingRefBased/>
  <w15:docId w15:val="{1781117E-A2F1-304B-A920-59E7C1843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03F"/>
    <w:rPr>
      <w:rFonts w:ascii="Times New Roman" w:eastAsia="Times New Roman" w:hAnsi="Times New Roman" w:cs="Times New Roman"/>
      <w:lang w:eastAsia="es-MX"/>
    </w:rPr>
  </w:style>
  <w:style w:type="paragraph" w:styleId="Heading1">
    <w:name w:val="heading 1"/>
    <w:basedOn w:val="Normal"/>
    <w:next w:val="Normal"/>
    <w:link w:val="Heading1Char"/>
    <w:uiPriority w:val="9"/>
    <w:qFormat/>
    <w:rsid w:val="005A103F"/>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5A103F"/>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5A103F"/>
    <w:pPr>
      <w:keepNext/>
      <w:keepLines/>
      <w:spacing w:before="160" w:after="8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5A103F"/>
    <w:pPr>
      <w:keepNext/>
      <w:keepLines/>
      <w:spacing w:before="80" w:after="40"/>
      <w:outlineLvl w:val="3"/>
    </w:pPr>
    <w:rPr>
      <w:rFonts w:asciiTheme="minorHAnsi" w:eastAsiaTheme="majorEastAsia" w:hAnsiTheme="minorHAnsi"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5A103F"/>
    <w:pPr>
      <w:keepNext/>
      <w:keepLines/>
      <w:spacing w:before="80" w:after="40"/>
      <w:outlineLvl w:val="4"/>
    </w:pPr>
    <w:rPr>
      <w:rFonts w:asciiTheme="minorHAnsi" w:eastAsiaTheme="majorEastAsia" w:hAnsiTheme="minorHAnsi"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5A103F"/>
    <w:pPr>
      <w:keepNext/>
      <w:keepLines/>
      <w:spacing w:before="40"/>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5A103F"/>
    <w:pPr>
      <w:keepNext/>
      <w:keepLines/>
      <w:spacing w:before="4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5A103F"/>
    <w:pPr>
      <w:keepNext/>
      <w:keepLines/>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5A103F"/>
    <w:pPr>
      <w:keepNext/>
      <w:keepLines/>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03F"/>
    <w:rPr>
      <w:rFonts w:eastAsiaTheme="majorEastAsia" w:cstheme="majorBidi"/>
      <w:color w:val="272727" w:themeColor="text1" w:themeTint="D8"/>
    </w:rPr>
  </w:style>
  <w:style w:type="paragraph" w:styleId="Title">
    <w:name w:val="Title"/>
    <w:basedOn w:val="Normal"/>
    <w:next w:val="Normal"/>
    <w:link w:val="TitleChar"/>
    <w:uiPriority w:val="10"/>
    <w:qFormat/>
    <w:rsid w:val="005A103F"/>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5A1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03F"/>
    <w:pPr>
      <w:numPr>
        <w:ilvl w:val="1"/>
      </w:numPr>
      <w:spacing w:after="16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A1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03F"/>
    <w:pPr>
      <w:spacing w:before="160" w:after="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rsid w:val="005A103F"/>
    <w:rPr>
      <w:i/>
      <w:iCs/>
      <w:color w:val="404040" w:themeColor="text1" w:themeTint="BF"/>
    </w:rPr>
  </w:style>
  <w:style w:type="paragraph" w:styleId="ListParagraph">
    <w:name w:val="List Paragraph"/>
    <w:basedOn w:val="Normal"/>
    <w:uiPriority w:val="34"/>
    <w:qFormat/>
    <w:rsid w:val="005A103F"/>
    <w:pPr>
      <w:ind w:left="720"/>
      <w:contextualSpacing/>
    </w:pPr>
    <w:rPr>
      <w:rFonts w:asciiTheme="minorHAnsi" w:eastAsiaTheme="minorHAnsi" w:hAnsiTheme="minorHAnsi" w:cstheme="minorBidi"/>
      <w:lang w:eastAsia="en-US"/>
    </w:rPr>
  </w:style>
  <w:style w:type="character" w:styleId="IntenseEmphasis">
    <w:name w:val="Intense Emphasis"/>
    <w:basedOn w:val="DefaultParagraphFont"/>
    <w:uiPriority w:val="21"/>
    <w:qFormat/>
    <w:rsid w:val="005A103F"/>
    <w:rPr>
      <w:i/>
      <w:iCs/>
      <w:color w:val="0F4761" w:themeColor="accent1" w:themeShade="BF"/>
    </w:rPr>
  </w:style>
  <w:style w:type="paragraph" w:styleId="IntenseQuote">
    <w:name w:val="Intense Quote"/>
    <w:basedOn w:val="Normal"/>
    <w:next w:val="Normal"/>
    <w:link w:val="IntenseQuoteChar"/>
    <w:uiPriority w:val="30"/>
    <w:qFormat/>
    <w:rsid w:val="005A103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lang w:eastAsia="en-US"/>
    </w:rPr>
  </w:style>
  <w:style w:type="character" w:customStyle="1" w:styleId="IntenseQuoteChar">
    <w:name w:val="Intense Quote Char"/>
    <w:basedOn w:val="DefaultParagraphFont"/>
    <w:link w:val="IntenseQuote"/>
    <w:uiPriority w:val="30"/>
    <w:rsid w:val="005A103F"/>
    <w:rPr>
      <w:i/>
      <w:iCs/>
      <w:color w:val="0F4761" w:themeColor="accent1" w:themeShade="BF"/>
    </w:rPr>
  </w:style>
  <w:style w:type="character" w:styleId="IntenseReference">
    <w:name w:val="Intense Reference"/>
    <w:basedOn w:val="DefaultParagraphFont"/>
    <w:uiPriority w:val="32"/>
    <w:qFormat/>
    <w:rsid w:val="005A103F"/>
    <w:rPr>
      <w:b/>
      <w:bCs/>
      <w:smallCaps/>
      <w:color w:val="0F4761" w:themeColor="accent1" w:themeShade="BF"/>
      <w:spacing w:val="5"/>
    </w:rPr>
  </w:style>
  <w:style w:type="paragraph" w:customStyle="1" w:styleId="paragraph">
    <w:name w:val="paragraph"/>
    <w:basedOn w:val="Normal"/>
    <w:rsid w:val="005A103F"/>
    <w:pPr>
      <w:spacing w:before="100" w:beforeAutospacing="1" w:after="100" w:afterAutospacing="1"/>
    </w:pPr>
  </w:style>
  <w:style w:type="character" w:customStyle="1" w:styleId="normaltextrun">
    <w:name w:val="normaltextrun"/>
    <w:basedOn w:val="DefaultParagraphFont"/>
    <w:rsid w:val="005A103F"/>
  </w:style>
  <w:style w:type="character" w:customStyle="1" w:styleId="eop">
    <w:name w:val="eop"/>
    <w:basedOn w:val="DefaultParagraphFont"/>
    <w:rsid w:val="005A103F"/>
  </w:style>
  <w:style w:type="character" w:customStyle="1" w:styleId="wacimagecontainer">
    <w:name w:val="wacimagecontainer"/>
    <w:basedOn w:val="DefaultParagraphFont"/>
    <w:rsid w:val="005A103F"/>
  </w:style>
  <w:style w:type="paragraph" w:styleId="NormalWeb">
    <w:name w:val="Normal (Web)"/>
    <w:basedOn w:val="Normal"/>
    <w:uiPriority w:val="99"/>
    <w:unhideWhenUsed/>
    <w:rsid w:val="00DF34DB"/>
    <w:pPr>
      <w:spacing w:before="100" w:beforeAutospacing="1" w:after="100" w:afterAutospacing="1"/>
    </w:pPr>
  </w:style>
  <w:style w:type="character" w:styleId="Strong">
    <w:name w:val="Strong"/>
    <w:basedOn w:val="DefaultParagraphFont"/>
    <w:uiPriority w:val="22"/>
    <w:qFormat/>
    <w:rsid w:val="00DF34DB"/>
    <w:rPr>
      <w:b/>
      <w:bCs/>
    </w:rPr>
  </w:style>
  <w:style w:type="paragraph" w:customStyle="1" w:styleId="p1">
    <w:name w:val="p1"/>
    <w:basedOn w:val="Normal"/>
    <w:rsid w:val="00DF34DB"/>
    <w:rPr>
      <w:rFonts w:ascii="Helvetica" w:hAnsi="Helvetica"/>
      <w:color w:val="7C97B6"/>
      <w:sz w:val="12"/>
      <w:szCs w:val="12"/>
    </w:rPr>
  </w:style>
  <w:style w:type="paragraph" w:customStyle="1" w:styleId="font-claude-response-body">
    <w:name w:val="font-claude-response-body"/>
    <w:basedOn w:val="Normal"/>
    <w:rsid w:val="009A41D3"/>
    <w:pPr>
      <w:spacing w:before="100" w:beforeAutospacing="1" w:after="100" w:afterAutospacing="1"/>
    </w:pPr>
    <w:rPr>
      <w:lang w:val="en-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Andrea Hernandez Pinto</dc:creator>
  <cp:keywords/>
  <dc:description/>
  <cp:lastModifiedBy>JUAN ESTEBAN DAZA FORERO</cp:lastModifiedBy>
  <cp:revision>6</cp:revision>
  <dcterms:created xsi:type="dcterms:W3CDTF">2026-04-28T17:10:00Z</dcterms:created>
  <dcterms:modified xsi:type="dcterms:W3CDTF">2026-04-29T14:33:00Z</dcterms:modified>
</cp:coreProperties>
</file>