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D2523" w14:textId="69D66965" w:rsidR="00D22BEC" w:rsidRPr="00ED3FFB" w:rsidRDefault="00D22BEC" w:rsidP="00D22BEC">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2</w:t>
      </w:r>
      <w:r w:rsidRPr="00ED3FFB">
        <w:rPr>
          <w:rStyle w:val="normaltextrun"/>
          <w:rFonts w:eastAsiaTheme="majorEastAsia"/>
          <w:color w:val="000000"/>
          <w:lang w:val="en-US"/>
        </w:rPr>
        <w:t xml:space="preserve">: </w:t>
      </w:r>
      <w:r>
        <w:rPr>
          <w:rStyle w:val="normaltextrun"/>
          <w:rFonts w:eastAsiaTheme="majorEastAsia"/>
          <w:color w:val="000000"/>
          <w:lang w:val="en-US"/>
        </w:rPr>
        <w:t>Hollywood</w:t>
      </w:r>
    </w:p>
    <w:p w14:paraId="04D66990" w14:textId="77777777" w:rsidR="00D22BEC" w:rsidRPr="00ED3FFB" w:rsidRDefault="00D22BEC" w:rsidP="00D22BEC">
      <w:pPr>
        <w:pStyle w:val="paragraph"/>
        <w:spacing w:before="0" w:beforeAutospacing="0" w:after="0" w:afterAutospacing="0" w:line="276" w:lineRule="auto"/>
        <w:jc w:val="center"/>
        <w:textAlignment w:val="baseline"/>
        <w:rPr>
          <w:rFonts w:ascii="Segoe UI" w:hAnsi="Segoe UI" w:cs="Segoe UI"/>
          <w:sz w:val="18"/>
          <w:szCs w:val="18"/>
          <w:lang w:val="en-US"/>
        </w:rPr>
      </w:pPr>
    </w:p>
    <w:p w14:paraId="309C757B"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1713824" wp14:editId="7F839ABC">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7D53C40D"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19514CC"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F4B8325"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EF2DC4A"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5F9BF0D"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9232A17"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6512A26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16EE02E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3F2CA9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5453A95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2893A926"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43CCE208"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60834D5"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3DFA6BF"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560CBF48"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2131B7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7210F300"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0F473A3E"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A921E16"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299095D"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1408E052"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339271B9"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14218812"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656DE76A"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453B549"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5A5E7AF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759F966A"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065A4E0F" w14:textId="12488A3F"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sidRPr="000E462A">
        <w:rPr>
          <w:rStyle w:val="normaltextrun"/>
          <w:rFonts w:eastAsiaTheme="majorEastAsia"/>
          <w:color w:val="000000"/>
        </w:rPr>
        <w:t>0</w:t>
      </w:r>
      <w:r>
        <w:rPr>
          <w:rStyle w:val="normaltextrun"/>
          <w:rFonts w:eastAsiaTheme="majorEastAsia"/>
          <w:color w:val="000000"/>
        </w:rPr>
        <w:t>7</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78A77CFC" w14:textId="77777777" w:rsidR="009430A9" w:rsidRDefault="009430A9"/>
    <w:p w14:paraId="1BC6FEC7" w14:textId="77777777" w:rsidR="00D22BEC" w:rsidRDefault="00D22BEC"/>
    <w:p w14:paraId="04DEAD94" w14:textId="77777777" w:rsidR="00D22BEC" w:rsidRDefault="00D22BEC"/>
    <w:p w14:paraId="6E831C08" w14:textId="77777777" w:rsidR="00D22BEC" w:rsidRDefault="00D22BEC"/>
    <w:p w14:paraId="7C71A90F" w14:textId="77777777" w:rsidR="00D22BEC" w:rsidRDefault="00D22BEC"/>
    <w:p w14:paraId="6657ABA8" w14:textId="77777777" w:rsidR="00D22BEC" w:rsidRDefault="00D22BEC"/>
    <w:p w14:paraId="10CFEE19" w14:textId="77777777" w:rsidR="00D22BEC" w:rsidRDefault="00D22BEC"/>
    <w:p w14:paraId="2C2D0306" w14:textId="730D0C0F" w:rsidR="00D22BEC" w:rsidRPr="00B223B9" w:rsidRDefault="00D22BEC">
      <w:pPr>
        <w:rPr>
          <w:rFonts w:ascii="Times New Roman" w:hAnsi="Times New Roman" w:cs="Times New Roman"/>
          <w:b/>
          <w:bCs/>
        </w:rPr>
      </w:pPr>
      <w:r w:rsidRPr="00B223B9">
        <w:rPr>
          <w:rFonts w:ascii="Times New Roman" w:hAnsi="Times New Roman" w:cs="Times New Roman"/>
          <w:b/>
          <w:bCs/>
        </w:rPr>
        <w:lastRenderedPageBreak/>
        <w:t>Resumen ejecutivo</w:t>
      </w:r>
    </w:p>
    <w:p w14:paraId="1D581086" w14:textId="77777777" w:rsidR="00D22BEC" w:rsidRDefault="00D22BEC">
      <w:pPr>
        <w:rPr>
          <w:rFonts w:ascii="Times New Roman" w:hAnsi="Times New Roman" w:cs="Times New Roman"/>
        </w:rPr>
      </w:pPr>
    </w:p>
    <w:p w14:paraId="0AFEC254" w14:textId="77777777" w:rsidR="00B223B9" w:rsidRPr="00B223B9" w:rsidRDefault="00B223B9">
      <w:pPr>
        <w:rPr>
          <w:rFonts w:ascii="Times New Roman" w:hAnsi="Times New Roman" w:cs="Times New Roman"/>
        </w:rPr>
      </w:pPr>
    </w:p>
    <w:p w14:paraId="55297F77" w14:textId="02AF91A1" w:rsidR="00D22BEC" w:rsidRPr="00B223B9" w:rsidRDefault="00D22BEC">
      <w:pPr>
        <w:rPr>
          <w:rFonts w:ascii="Times New Roman" w:hAnsi="Times New Roman" w:cs="Times New Roman"/>
          <w:b/>
          <w:bCs/>
        </w:rPr>
      </w:pPr>
      <w:r w:rsidRPr="00B223B9">
        <w:rPr>
          <w:rFonts w:ascii="Times New Roman" w:hAnsi="Times New Roman" w:cs="Times New Roman"/>
          <w:b/>
          <w:bCs/>
        </w:rPr>
        <w:t>Análisis</w:t>
      </w:r>
    </w:p>
    <w:p w14:paraId="7C87687F" w14:textId="58743C6B" w:rsidR="00D22BEC" w:rsidRPr="00B223B9" w:rsidRDefault="00027FC7" w:rsidP="00D22BEC">
      <w:pPr>
        <w:pStyle w:val="Prrafodelista"/>
        <w:numPr>
          <w:ilvl w:val="0"/>
          <w:numId w:val="1"/>
        </w:numPr>
        <w:rPr>
          <w:rFonts w:ascii="Times New Roman" w:hAnsi="Times New Roman" w:cs="Times New Roman"/>
          <w:b/>
          <w:bCs/>
        </w:rPr>
      </w:pPr>
      <w:r w:rsidRPr="00B223B9">
        <w:rPr>
          <w:rFonts w:ascii="Times New Roman" w:hAnsi="Times New Roman" w:cs="Times New Roman"/>
          <w:b/>
          <w:bCs/>
        </w:rPr>
        <w:t>Exploración de los datos:</w:t>
      </w:r>
    </w:p>
    <w:p w14:paraId="4895AD33" w14:textId="25748E8F" w:rsidR="00027FC7" w:rsidRPr="00B223B9" w:rsidRDefault="00027FC7" w:rsidP="00027FC7">
      <w:pPr>
        <w:pStyle w:val="Prrafodelista"/>
        <w:rPr>
          <w:rFonts w:ascii="Times New Roman" w:hAnsi="Times New Roman" w:cs="Times New Roman"/>
        </w:rPr>
      </w:pPr>
      <w:r w:rsidRPr="00B223B9">
        <w:rPr>
          <w:rFonts w:ascii="Times New Roman" w:hAnsi="Times New Roman" w:cs="Times New Roman"/>
        </w:rPr>
        <w:t>Se realizo un análisis descriptivo de las principales variables de la base de datos incluyendo ingresos de apertura (Opening Gross), ingresos totales en EE.UU. (Total U.S. Gross), ingresos no provenientes de EE.UU y número de salas de estreno.</w:t>
      </w:r>
    </w:p>
    <w:p w14:paraId="6EE80096" w14:textId="77777777" w:rsidR="00027FC7" w:rsidRPr="00B223B9" w:rsidRDefault="00027FC7" w:rsidP="00027FC7">
      <w:pPr>
        <w:pStyle w:val="Prrafodelista"/>
        <w:rPr>
          <w:rFonts w:ascii="Times New Roman" w:hAnsi="Times New Roman" w:cs="Times New Roman"/>
        </w:rPr>
      </w:pPr>
    </w:p>
    <w:p w14:paraId="14F60B85" w14:textId="12A0DE98" w:rsidR="00027FC7" w:rsidRPr="00B223B9" w:rsidRDefault="00027FC7" w:rsidP="00027FC7">
      <w:pPr>
        <w:pStyle w:val="Prrafodelista"/>
        <w:rPr>
          <w:rFonts w:ascii="Times New Roman" w:hAnsi="Times New Roman" w:cs="Times New Roman"/>
        </w:rPr>
      </w:pPr>
      <w:r w:rsidRPr="00B223B9">
        <w:rPr>
          <w:rFonts w:ascii="Times New Roman" w:hAnsi="Times New Roman" w:cs="Times New Roman"/>
        </w:rPr>
        <w:t>Los resultados muestran que hay una alta variabilidad en los ingresos de las películas lo cual indica que el desempeño en taquilla es heterogéneo entre producciones. Además, existe un número considerable de películas del género de comedia en la muestra y también hay películas con clasificación R, lo cual nos permitió realizar comparaciones posteriores.</w:t>
      </w:r>
    </w:p>
    <w:p w14:paraId="443AFD3B" w14:textId="77777777" w:rsidR="00027FC7" w:rsidRPr="00B223B9" w:rsidRDefault="00027FC7" w:rsidP="00027FC7">
      <w:pPr>
        <w:pStyle w:val="Prrafodelista"/>
        <w:rPr>
          <w:rFonts w:ascii="Times New Roman" w:hAnsi="Times New Roman" w:cs="Times New Roman"/>
        </w:rPr>
      </w:pPr>
    </w:p>
    <w:p w14:paraId="062AC710" w14:textId="7E23EA32" w:rsidR="00027FC7" w:rsidRPr="00B223B9" w:rsidRDefault="00027FC7" w:rsidP="00027FC7">
      <w:pPr>
        <w:pStyle w:val="Prrafodelista"/>
        <w:rPr>
          <w:rFonts w:ascii="Times New Roman" w:hAnsi="Times New Roman" w:cs="Times New Roman"/>
        </w:rPr>
      </w:pPr>
      <w:r w:rsidRPr="00B223B9">
        <w:rPr>
          <w:rFonts w:ascii="Times New Roman" w:hAnsi="Times New Roman" w:cs="Times New Roman"/>
        </w:rPr>
        <w:t>Este inicialmente nos permitió comprender la estructura de los datos y establecer una base para futuros análisis.</w:t>
      </w:r>
    </w:p>
    <w:p w14:paraId="1F4C9273" w14:textId="77777777" w:rsidR="00027FC7" w:rsidRPr="00B223B9" w:rsidRDefault="00027FC7" w:rsidP="00027FC7">
      <w:pPr>
        <w:rPr>
          <w:rFonts w:ascii="Times New Roman" w:hAnsi="Times New Roman" w:cs="Times New Roman"/>
        </w:rPr>
      </w:pPr>
    </w:p>
    <w:p w14:paraId="67CE3B3F" w14:textId="4FC1B17C" w:rsidR="00027FC7" w:rsidRPr="00B223B9" w:rsidRDefault="00027FC7" w:rsidP="00027FC7">
      <w:pPr>
        <w:pStyle w:val="Prrafodelista"/>
        <w:numPr>
          <w:ilvl w:val="0"/>
          <w:numId w:val="1"/>
        </w:numPr>
        <w:rPr>
          <w:rFonts w:ascii="Times New Roman" w:hAnsi="Times New Roman" w:cs="Times New Roman"/>
          <w:b/>
          <w:bCs/>
        </w:rPr>
      </w:pPr>
      <w:r w:rsidRPr="00B223B9">
        <w:rPr>
          <w:rFonts w:ascii="Times New Roman" w:hAnsi="Times New Roman" w:cs="Times New Roman"/>
          <w:b/>
          <w:bCs/>
        </w:rPr>
        <w:t>Análisis del ROI</w:t>
      </w:r>
    </w:p>
    <w:p w14:paraId="63DEC284" w14:textId="61653B05" w:rsidR="00027FC7" w:rsidRPr="00B223B9" w:rsidRDefault="00027FC7" w:rsidP="00027FC7">
      <w:pPr>
        <w:pStyle w:val="Prrafodelista"/>
        <w:rPr>
          <w:rFonts w:ascii="Times New Roman" w:hAnsi="Times New Roman" w:cs="Times New Roman"/>
        </w:rPr>
      </w:pPr>
      <w:r w:rsidRPr="00B223B9">
        <w:rPr>
          <w:rFonts w:ascii="Times New Roman" w:hAnsi="Times New Roman" w:cs="Times New Roman"/>
        </w:rPr>
        <w:t xml:space="preserve">Se </w:t>
      </w:r>
      <w:r w:rsidR="006B2C9F" w:rsidRPr="00B223B9">
        <w:rPr>
          <w:rFonts w:ascii="Times New Roman" w:hAnsi="Times New Roman" w:cs="Times New Roman"/>
        </w:rPr>
        <w:t>calculo el ROI para cada una de las películas y el promedio obtenido de estos fue de aproximadamente 29.3%, lo que indica que, en promedio, las películas generan un retorno positivo sobre la inversión.</w:t>
      </w:r>
    </w:p>
    <w:p w14:paraId="31D078EC" w14:textId="2B695042" w:rsidR="006B2C9F" w:rsidRPr="00B223B9" w:rsidRDefault="006B2C9F" w:rsidP="00027FC7">
      <w:pPr>
        <w:pStyle w:val="Prrafodelista"/>
        <w:rPr>
          <w:rFonts w:ascii="Times New Roman" w:hAnsi="Times New Roman" w:cs="Times New Roman"/>
        </w:rPr>
      </w:pPr>
      <w:r w:rsidRPr="00B223B9">
        <w:rPr>
          <w:rFonts w:ascii="Times New Roman" w:hAnsi="Times New Roman" w:cs="Times New Roman"/>
        </w:rPr>
        <w:t>Se realizo una prueba t para construir un intervalo de confianza del 95% para la media del ROI, el que se encuentra completamente por encima de cero, confirmando que el retorno promedio es positivo.</w:t>
      </w:r>
    </w:p>
    <w:p w14:paraId="54B8E513" w14:textId="37B80A39" w:rsidR="006B2C9F" w:rsidRPr="00B223B9" w:rsidRDefault="006B2C9F" w:rsidP="00027FC7">
      <w:pPr>
        <w:pStyle w:val="Prrafodelista"/>
        <w:rPr>
          <w:rFonts w:ascii="Times New Roman" w:hAnsi="Times New Roman" w:cs="Times New Roman"/>
        </w:rPr>
      </w:pPr>
      <w:r w:rsidRPr="00B223B9">
        <w:rPr>
          <w:rFonts w:ascii="Times New Roman" w:hAnsi="Times New Roman" w:cs="Times New Roman"/>
        </w:rPr>
        <w:t>Adicionalmente, se evaluó si el ROI promedio es mayor al 12%. Los resultados muestran que el ROI es significativamente mayor al 12% (p-value &lt; 0.05), lo que sugiere que las películas superan este umbral de rentabilidad en promedio.</w:t>
      </w:r>
    </w:p>
    <w:p w14:paraId="5E8DBD2A" w14:textId="77777777" w:rsidR="006B2C9F" w:rsidRPr="00B223B9" w:rsidRDefault="006B2C9F" w:rsidP="006B2C9F">
      <w:pPr>
        <w:rPr>
          <w:rFonts w:ascii="Times New Roman" w:hAnsi="Times New Roman" w:cs="Times New Roman"/>
        </w:rPr>
      </w:pPr>
    </w:p>
    <w:p w14:paraId="445DF323" w14:textId="4BC9D9A6" w:rsidR="006B2C9F" w:rsidRPr="00B223B9" w:rsidRDefault="006B2C9F" w:rsidP="006B2C9F">
      <w:pPr>
        <w:pStyle w:val="Prrafodelista"/>
        <w:numPr>
          <w:ilvl w:val="0"/>
          <w:numId w:val="1"/>
        </w:numPr>
        <w:rPr>
          <w:rFonts w:ascii="Times New Roman" w:hAnsi="Times New Roman" w:cs="Times New Roman"/>
          <w:b/>
          <w:bCs/>
        </w:rPr>
      </w:pPr>
      <w:r w:rsidRPr="00B223B9">
        <w:rPr>
          <w:rFonts w:ascii="Times New Roman" w:hAnsi="Times New Roman" w:cs="Times New Roman"/>
          <w:b/>
          <w:bCs/>
        </w:rPr>
        <w:t>Comparación entre películas de comedia y de otros géneros</w:t>
      </w:r>
    </w:p>
    <w:p w14:paraId="69D7221F" w14:textId="07EA58D1" w:rsidR="006B2C9F" w:rsidRPr="00B223B9" w:rsidRDefault="006B2C9F" w:rsidP="006B2C9F">
      <w:pPr>
        <w:pStyle w:val="Prrafodelista"/>
        <w:rPr>
          <w:rFonts w:ascii="Times New Roman" w:hAnsi="Times New Roman" w:cs="Times New Roman"/>
        </w:rPr>
      </w:pPr>
      <w:r w:rsidRPr="00B223B9">
        <w:rPr>
          <w:rFonts w:ascii="Times New Roman" w:hAnsi="Times New Roman" w:cs="Times New Roman"/>
        </w:rPr>
        <w:t>Se analizaron las diferencias en ingresos y ROI entre películas de comedia y otros géneros.</w:t>
      </w:r>
    </w:p>
    <w:p w14:paraId="4586A5EA" w14:textId="178BC9FD" w:rsidR="006B2C9F" w:rsidRPr="00B223B9" w:rsidRDefault="006B2C9F" w:rsidP="006B2C9F">
      <w:pPr>
        <w:pStyle w:val="Prrafodelista"/>
        <w:rPr>
          <w:rFonts w:ascii="Times New Roman" w:hAnsi="Times New Roman" w:cs="Times New Roman"/>
        </w:rPr>
      </w:pPr>
      <w:r w:rsidRPr="00B223B9">
        <w:rPr>
          <w:rFonts w:ascii="Times New Roman" w:hAnsi="Times New Roman" w:cs="Times New Roman"/>
        </w:rPr>
        <w:t>En términos de ingresos totales, no se encontró evidencia estadísticamente significativa de diferencias entre ambos grupos (p-value &gt; 0.05).</w:t>
      </w:r>
    </w:p>
    <w:p w14:paraId="2693A5E8" w14:textId="70E85A8D" w:rsidR="006B2C9F" w:rsidRPr="00B223B9" w:rsidRDefault="006B2C9F" w:rsidP="006B2C9F">
      <w:pPr>
        <w:pStyle w:val="Prrafodelista"/>
        <w:rPr>
          <w:rFonts w:ascii="Times New Roman" w:hAnsi="Times New Roman" w:cs="Times New Roman"/>
        </w:rPr>
      </w:pPr>
      <w:r w:rsidRPr="00B223B9">
        <w:rPr>
          <w:rFonts w:ascii="Times New Roman" w:hAnsi="Times New Roman" w:cs="Times New Roman"/>
        </w:rPr>
        <w:t xml:space="preserve">Sin embargo, al analizar el ROI, se encontró que las películas de comedio tienen un ROI promedio mayor, y la diferencia es estadísticamente significativa (p-value &lt; 0.05). </w:t>
      </w:r>
    </w:p>
    <w:p w14:paraId="5A10FEF8" w14:textId="597AF3AE" w:rsidR="006B2C9F" w:rsidRPr="00B223B9" w:rsidRDefault="006B2C9F" w:rsidP="006B2C9F">
      <w:pPr>
        <w:pStyle w:val="Prrafodelista"/>
        <w:rPr>
          <w:rFonts w:ascii="Times New Roman" w:hAnsi="Times New Roman" w:cs="Times New Roman"/>
        </w:rPr>
      </w:pPr>
      <w:r w:rsidRPr="00B223B9">
        <w:rPr>
          <w:rFonts w:ascii="Times New Roman" w:hAnsi="Times New Roman" w:cs="Times New Roman"/>
        </w:rPr>
        <w:t>Lo que indica que, aunque el género de comedia no necesariamente generan mayores ingresos absolutos, si pueden ser más eficientes en términos de rentabilidad.</w:t>
      </w:r>
    </w:p>
    <w:p w14:paraId="37D809B3" w14:textId="77777777" w:rsidR="00027FC7" w:rsidRPr="00B223B9" w:rsidRDefault="00027FC7" w:rsidP="006B2C9F">
      <w:pPr>
        <w:rPr>
          <w:rFonts w:ascii="Times New Roman" w:hAnsi="Times New Roman" w:cs="Times New Roman"/>
        </w:rPr>
      </w:pPr>
    </w:p>
    <w:p w14:paraId="75D87076" w14:textId="25D44A6C" w:rsidR="006B2C9F" w:rsidRPr="00B223B9" w:rsidRDefault="006B2C9F" w:rsidP="006B2C9F">
      <w:pPr>
        <w:pStyle w:val="Prrafodelista"/>
        <w:numPr>
          <w:ilvl w:val="0"/>
          <w:numId w:val="1"/>
        </w:numPr>
        <w:rPr>
          <w:rFonts w:ascii="Times New Roman" w:hAnsi="Times New Roman" w:cs="Times New Roman"/>
        </w:rPr>
      </w:pPr>
      <w:r w:rsidRPr="00B223B9">
        <w:rPr>
          <w:rFonts w:ascii="Times New Roman" w:hAnsi="Times New Roman" w:cs="Times New Roman"/>
          <w:b/>
          <w:bCs/>
        </w:rPr>
        <w:t>Comparación entre películas R y de otros géneros</w:t>
      </w:r>
    </w:p>
    <w:p w14:paraId="4F64AA51" w14:textId="4BE8348D" w:rsidR="006B2C9F" w:rsidRPr="00B223B9" w:rsidRDefault="006B2C9F" w:rsidP="006B2C9F">
      <w:pPr>
        <w:pStyle w:val="Prrafodelista"/>
        <w:rPr>
          <w:rFonts w:ascii="Times New Roman" w:hAnsi="Times New Roman" w:cs="Times New Roman"/>
        </w:rPr>
      </w:pPr>
      <w:r w:rsidRPr="00B223B9">
        <w:rPr>
          <w:rFonts w:ascii="Times New Roman" w:hAnsi="Times New Roman" w:cs="Times New Roman"/>
        </w:rPr>
        <w:t xml:space="preserve">Se </w:t>
      </w:r>
      <w:r w:rsidR="00B223B9" w:rsidRPr="00B223B9">
        <w:rPr>
          <w:rFonts w:ascii="Times New Roman" w:hAnsi="Times New Roman" w:cs="Times New Roman"/>
        </w:rPr>
        <w:t>evaluó</w:t>
      </w:r>
      <w:r w:rsidRPr="00B223B9">
        <w:rPr>
          <w:rFonts w:ascii="Times New Roman" w:hAnsi="Times New Roman" w:cs="Times New Roman"/>
        </w:rPr>
        <w:t xml:space="preserve"> si las películas con clasificación R generan mayores ingresos que aquellas con otras clasificaciones. Los resultados evidenciaron que las películas no R tienen un ingreso promedio mayor</w:t>
      </w:r>
      <w:r w:rsidR="00B223B9" w:rsidRPr="00B223B9">
        <w:rPr>
          <w:rFonts w:ascii="Times New Roman" w:hAnsi="Times New Roman" w:cs="Times New Roman"/>
        </w:rPr>
        <w:t xml:space="preserve">; sin embargo, la diferencia no es estadísticamente significativa (p-value = 0.398). Po lo tanto, no hay evidencia suficiente para afirmar que las películas con clasificación R tienen un mejor desempeño en taquilla. </w:t>
      </w:r>
    </w:p>
    <w:sectPr w:rsidR="006B2C9F" w:rsidRPr="00B223B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F74A75"/>
    <w:multiLevelType w:val="hybridMultilevel"/>
    <w:tmpl w:val="6B6697F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958683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BEC"/>
    <w:rsid w:val="00027FC7"/>
    <w:rsid w:val="00030C25"/>
    <w:rsid w:val="005B6616"/>
    <w:rsid w:val="006B2C9F"/>
    <w:rsid w:val="009430A9"/>
    <w:rsid w:val="00B223B9"/>
    <w:rsid w:val="00C54A9B"/>
    <w:rsid w:val="00C80F84"/>
    <w:rsid w:val="00D22BE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52FF025"/>
  <w15:chartTrackingRefBased/>
  <w15:docId w15:val="{37E347CA-6599-1C46-8B28-ABC440792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22B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22B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22BE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22BE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22BE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22BE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22BE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22BE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22BE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2BE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22BE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22BE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22BE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22BE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22BE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22BE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22BE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22BEC"/>
    <w:rPr>
      <w:rFonts w:eastAsiaTheme="majorEastAsia" w:cstheme="majorBidi"/>
      <w:color w:val="272727" w:themeColor="text1" w:themeTint="D8"/>
    </w:rPr>
  </w:style>
  <w:style w:type="paragraph" w:styleId="Ttulo">
    <w:name w:val="Title"/>
    <w:basedOn w:val="Normal"/>
    <w:next w:val="Normal"/>
    <w:link w:val="TtuloCar"/>
    <w:uiPriority w:val="10"/>
    <w:qFormat/>
    <w:rsid w:val="00D22BEC"/>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2BE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22BEC"/>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22BE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22BEC"/>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D22BEC"/>
    <w:rPr>
      <w:i/>
      <w:iCs/>
      <w:color w:val="404040" w:themeColor="text1" w:themeTint="BF"/>
    </w:rPr>
  </w:style>
  <w:style w:type="paragraph" w:styleId="Prrafodelista">
    <w:name w:val="List Paragraph"/>
    <w:basedOn w:val="Normal"/>
    <w:uiPriority w:val="34"/>
    <w:qFormat/>
    <w:rsid w:val="00D22BEC"/>
    <w:pPr>
      <w:ind w:left="720"/>
      <w:contextualSpacing/>
    </w:pPr>
  </w:style>
  <w:style w:type="character" w:styleId="nfasisintenso">
    <w:name w:val="Intense Emphasis"/>
    <w:basedOn w:val="Fuentedeprrafopredeter"/>
    <w:uiPriority w:val="21"/>
    <w:qFormat/>
    <w:rsid w:val="00D22BEC"/>
    <w:rPr>
      <w:i/>
      <w:iCs/>
      <w:color w:val="0F4761" w:themeColor="accent1" w:themeShade="BF"/>
    </w:rPr>
  </w:style>
  <w:style w:type="paragraph" w:styleId="Citadestacada">
    <w:name w:val="Intense Quote"/>
    <w:basedOn w:val="Normal"/>
    <w:next w:val="Normal"/>
    <w:link w:val="CitadestacadaCar"/>
    <w:uiPriority w:val="30"/>
    <w:qFormat/>
    <w:rsid w:val="00D22B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22BEC"/>
    <w:rPr>
      <w:i/>
      <w:iCs/>
      <w:color w:val="0F4761" w:themeColor="accent1" w:themeShade="BF"/>
    </w:rPr>
  </w:style>
  <w:style w:type="character" w:styleId="Referenciaintensa">
    <w:name w:val="Intense Reference"/>
    <w:basedOn w:val="Fuentedeprrafopredeter"/>
    <w:uiPriority w:val="32"/>
    <w:qFormat/>
    <w:rsid w:val="00D22BEC"/>
    <w:rPr>
      <w:b/>
      <w:bCs/>
      <w:smallCaps/>
      <w:color w:val="0F4761" w:themeColor="accent1" w:themeShade="BF"/>
      <w:spacing w:val="5"/>
    </w:rPr>
  </w:style>
  <w:style w:type="paragraph" w:customStyle="1" w:styleId="paragraph">
    <w:name w:val="paragraph"/>
    <w:basedOn w:val="Normal"/>
    <w:rsid w:val="00D22BEC"/>
    <w:pPr>
      <w:spacing w:before="100" w:beforeAutospacing="1" w:after="100" w:afterAutospacing="1"/>
    </w:pPr>
    <w:rPr>
      <w:rFonts w:ascii="Times New Roman" w:eastAsia="Times New Roman" w:hAnsi="Times New Roman" w:cs="Times New Roman"/>
      <w:lang w:eastAsia="es-MX"/>
    </w:rPr>
  </w:style>
  <w:style w:type="character" w:customStyle="1" w:styleId="normaltextrun">
    <w:name w:val="normaltextrun"/>
    <w:basedOn w:val="Fuentedeprrafopredeter"/>
    <w:rsid w:val="00D22BEC"/>
  </w:style>
  <w:style w:type="character" w:customStyle="1" w:styleId="eop">
    <w:name w:val="eop"/>
    <w:basedOn w:val="Fuentedeprrafopredeter"/>
    <w:rsid w:val="00D22BEC"/>
  </w:style>
  <w:style w:type="character" w:customStyle="1" w:styleId="wacimagecontainer">
    <w:name w:val="wacimagecontainer"/>
    <w:basedOn w:val="Fuentedeprrafopredeter"/>
    <w:rsid w:val="00D22B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424</Words>
  <Characters>2338</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Mariana Andrea Hernandez Pinto</cp:lastModifiedBy>
  <cp:revision>1</cp:revision>
  <dcterms:created xsi:type="dcterms:W3CDTF">2026-04-06T17:07:00Z</dcterms:created>
  <dcterms:modified xsi:type="dcterms:W3CDTF">2026-04-07T01:55:00Z</dcterms:modified>
</cp:coreProperties>
</file>