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E2E48" w14:textId="1CE35442" w:rsidR="00BE53C8" w:rsidRPr="00ED3FFB" w:rsidRDefault="00BE53C8" w:rsidP="00BE53C8">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3</w:t>
      </w:r>
      <w:r w:rsidRPr="00ED3FFB">
        <w:rPr>
          <w:rStyle w:val="normaltextrun"/>
          <w:rFonts w:eastAsiaTheme="majorEastAsia"/>
          <w:color w:val="000000"/>
          <w:lang w:val="en-US"/>
        </w:rPr>
        <w:t xml:space="preserve">: </w:t>
      </w:r>
      <w:r>
        <w:rPr>
          <w:rStyle w:val="normaltextrun"/>
          <w:rFonts w:eastAsiaTheme="majorEastAsia"/>
          <w:color w:val="000000"/>
          <w:lang w:val="en-US"/>
        </w:rPr>
        <w:t>Tour Marketing</w:t>
      </w:r>
    </w:p>
    <w:p w14:paraId="06924EC3" w14:textId="77777777" w:rsidR="00BE53C8" w:rsidRPr="00ED3FFB" w:rsidRDefault="00BE53C8" w:rsidP="00BE53C8">
      <w:pPr>
        <w:pStyle w:val="paragraph"/>
        <w:spacing w:before="0" w:beforeAutospacing="0" w:after="0" w:afterAutospacing="0" w:line="276" w:lineRule="auto"/>
        <w:jc w:val="center"/>
        <w:textAlignment w:val="baseline"/>
        <w:rPr>
          <w:rFonts w:ascii="Segoe UI" w:hAnsi="Segoe UI" w:cs="Segoe UI"/>
          <w:sz w:val="18"/>
          <w:szCs w:val="18"/>
          <w:lang w:val="en-US"/>
        </w:rPr>
      </w:pPr>
    </w:p>
    <w:p w14:paraId="35E430B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CFD78A" wp14:editId="2D8CA047">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0E2D6D7E"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FCE3729"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5272F89"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B57562F"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0924ADA"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574E57BF"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73893052"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10FB63E"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02CF5D7E"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68424CB7"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5285ED30"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6E919B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C3BB3"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9DB211D"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6921C45"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1E534887"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C122520"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5F2744C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086150F"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E28B9C"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812AB20"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F3BCC98"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7424BCE8"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406FFA61"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22E53CDF"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4F5D047D"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E820235"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1C9B7A15" w14:textId="2F3D4A28"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10</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13A72E68" w14:textId="77777777" w:rsidR="00BE53C8" w:rsidRDefault="00BE53C8" w:rsidP="00BE53C8"/>
    <w:p w14:paraId="0FABF6CB" w14:textId="77777777" w:rsidR="00BE53C8" w:rsidRDefault="00BE53C8" w:rsidP="00BE53C8"/>
    <w:p w14:paraId="74F0A221" w14:textId="77777777" w:rsidR="00EA4011" w:rsidRDefault="00EA4011" w:rsidP="00BE53C8"/>
    <w:p w14:paraId="5425C450" w14:textId="77777777" w:rsidR="00BE53C8" w:rsidRPr="00B223B9" w:rsidRDefault="00BE53C8" w:rsidP="00BE53C8"/>
    <w:p w14:paraId="47E90774" w14:textId="77777777" w:rsidR="00BE53C8" w:rsidRDefault="00BE53C8" w:rsidP="00BE53C8">
      <w:pPr>
        <w:rPr>
          <w:b/>
          <w:bCs/>
        </w:rPr>
      </w:pPr>
      <w:r w:rsidRPr="00B223B9">
        <w:rPr>
          <w:b/>
          <w:bCs/>
        </w:rPr>
        <w:lastRenderedPageBreak/>
        <w:t>Análisis</w:t>
      </w:r>
    </w:p>
    <w:p w14:paraId="49BC0092" w14:textId="762F7A3B" w:rsidR="00BE53C8" w:rsidRDefault="00BE53C8" w:rsidP="00BE53C8">
      <w:pPr>
        <w:rPr>
          <w:b/>
          <w:bCs/>
        </w:rPr>
      </w:pPr>
    </w:p>
    <w:p w14:paraId="0E8DC16F" w14:textId="1D3F72F7" w:rsidR="00BE53C8" w:rsidRDefault="00BE53C8" w:rsidP="00BE53C8">
      <w:pPr>
        <w:rPr>
          <w:b/>
          <w:bCs/>
        </w:rPr>
      </w:pPr>
      <w:r>
        <w:rPr>
          <w:b/>
          <w:bCs/>
        </w:rPr>
        <w:t>Punto 1</w:t>
      </w:r>
    </w:p>
    <w:p w14:paraId="3C877A8D" w14:textId="77777777" w:rsidR="00BE53C8" w:rsidRDefault="00BE53C8" w:rsidP="00BE53C8">
      <w:pPr>
        <w:rPr>
          <w:b/>
          <w:bCs/>
        </w:rPr>
      </w:pPr>
    </w:p>
    <w:p w14:paraId="7A35A0B4" w14:textId="74DD2926" w:rsidR="00BE53C8" w:rsidRDefault="00BE53C8">
      <w:r>
        <w:rPr>
          <w:noProof/>
          <w14:ligatures w14:val="standardContextual"/>
        </w:rPr>
        <w:drawing>
          <wp:inline distT="0" distB="0" distL="0" distR="0" wp14:anchorId="63808AB8" wp14:editId="2E2E1FB0">
            <wp:extent cx="4746517" cy="2278504"/>
            <wp:effectExtent l="0" t="0" r="3810" b="0"/>
            <wp:docPr id="59848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85339" name="Imagen 598485339"/>
                    <pic:cNvPicPr/>
                  </pic:nvPicPr>
                  <pic:blipFill rotWithShape="1">
                    <a:blip r:embed="rId6" cstate="print">
                      <a:extLst>
                        <a:ext uri="{28A0092B-C50C-407E-A947-70E740481C1C}">
                          <a14:useLocalDpi xmlns:a14="http://schemas.microsoft.com/office/drawing/2010/main" val="0"/>
                        </a:ext>
                      </a:extLst>
                    </a:blip>
                    <a:srcRect l="16293" t="4258" r="16102" b="16159"/>
                    <a:stretch>
                      <a:fillRect/>
                    </a:stretch>
                  </pic:blipFill>
                  <pic:spPr bwMode="auto">
                    <a:xfrm>
                      <a:off x="0" y="0"/>
                      <a:ext cx="4800082" cy="2304217"/>
                    </a:xfrm>
                    <a:prstGeom prst="rect">
                      <a:avLst/>
                    </a:prstGeom>
                    <a:ln>
                      <a:noFill/>
                    </a:ln>
                    <a:extLst>
                      <a:ext uri="{53640926-AAD7-44D8-BBD7-CCE9431645EC}">
                        <a14:shadowObscured xmlns:a14="http://schemas.microsoft.com/office/drawing/2010/main"/>
                      </a:ext>
                    </a:extLst>
                  </pic:spPr>
                </pic:pic>
              </a:graphicData>
            </a:graphic>
          </wp:inline>
        </w:drawing>
      </w:r>
    </w:p>
    <w:p w14:paraId="5EA092A0" w14:textId="732E7D95" w:rsidR="00BE53C8" w:rsidRDefault="00BE53C8">
      <w:pPr>
        <w:rPr>
          <w:i/>
          <w:iCs/>
          <w:sz w:val="21"/>
          <w:szCs w:val="21"/>
        </w:rPr>
      </w:pPr>
      <w:r w:rsidRPr="00BE53C8">
        <w:rPr>
          <w:i/>
          <w:iCs/>
          <w:sz w:val="21"/>
          <w:szCs w:val="21"/>
        </w:rPr>
        <w:t>Tabla 1. Resumen Estadístico variables Opry</w:t>
      </w:r>
    </w:p>
    <w:p w14:paraId="7258D699" w14:textId="77777777" w:rsidR="00EA4011" w:rsidRDefault="00EA4011">
      <w:pPr>
        <w:rPr>
          <w:i/>
          <w:iCs/>
          <w:sz w:val="21"/>
          <w:szCs w:val="21"/>
        </w:rPr>
      </w:pPr>
    </w:p>
    <w:p w14:paraId="1184EF5F" w14:textId="77777777" w:rsidR="00EA4011" w:rsidRDefault="00EA4011">
      <w:pPr>
        <w:rPr>
          <w:i/>
          <w:iCs/>
          <w:sz w:val="21"/>
          <w:szCs w:val="21"/>
        </w:rPr>
      </w:pPr>
    </w:p>
    <w:p w14:paraId="2BA9C5AD" w14:textId="0C6100B1" w:rsidR="00EA4011" w:rsidRDefault="00EA4011">
      <w:pPr>
        <w:rPr>
          <w:i/>
          <w:iCs/>
          <w:sz w:val="21"/>
          <w:szCs w:val="21"/>
        </w:rPr>
      </w:pPr>
      <w:r>
        <w:rPr>
          <w:i/>
          <w:iCs/>
          <w:noProof/>
          <w:sz w:val="21"/>
          <w:szCs w:val="21"/>
          <w14:ligatures w14:val="standardContextual"/>
        </w:rPr>
        <w:drawing>
          <wp:inline distT="0" distB="0" distL="0" distR="0" wp14:anchorId="00642F71" wp14:editId="4DEA3CDF">
            <wp:extent cx="3790592" cy="3028013"/>
            <wp:effectExtent l="0" t="0" r="0" b="0"/>
            <wp:docPr id="10040715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71572" name="Imagen 10040715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8014" cy="3049918"/>
                    </a:xfrm>
                    <a:prstGeom prst="rect">
                      <a:avLst/>
                    </a:prstGeom>
                  </pic:spPr>
                </pic:pic>
              </a:graphicData>
            </a:graphic>
          </wp:inline>
        </w:drawing>
      </w:r>
    </w:p>
    <w:p w14:paraId="03376F3D" w14:textId="026D097F" w:rsidR="00EA4011" w:rsidRDefault="00EA4011">
      <w:pPr>
        <w:rPr>
          <w:i/>
          <w:iCs/>
          <w:sz w:val="21"/>
          <w:szCs w:val="21"/>
        </w:rPr>
      </w:pPr>
      <w:r>
        <w:rPr>
          <w:i/>
          <w:iCs/>
          <w:sz w:val="21"/>
          <w:szCs w:val="21"/>
        </w:rPr>
        <w:t xml:space="preserve">Gráfica 1. </w:t>
      </w:r>
      <w:r w:rsidRPr="00EA4011">
        <w:rPr>
          <w:i/>
          <w:iCs/>
          <w:sz w:val="21"/>
          <w:szCs w:val="21"/>
        </w:rPr>
        <w:t>Gráfico de dispersión Ventas vs Gasto</w:t>
      </w:r>
      <w:r>
        <w:rPr>
          <w:i/>
          <w:iCs/>
          <w:sz w:val="21"/>
          <w:szCs w:val="21"/>
        </w:rPr>
        <w:t xml:space="preserve"> </w:t>
      </w:r>
      <w:r w:rsidRPr="00EA4011">
        <w:rPr>
          <w:i/>
          <w:iCs/>
          <w:sz w:val="21"/>
          <w:szCs w:val="21"/>
        </w:rPr>
        <w:t>Publicidad</w:t>
      </w:r>
    </w:p>
    <w:p w14:paraId="49E4F640" w14:textId="77777777" w:rsidR="00EA4011" w:rsidRDefault="00EA4011">
      <w:pPr>
        <w:rPr>
          <w:i/>
          <w:iCs/>
          <w:sz w:val="21"/>
          <w:szCs w:val="21"/>
        </w:rPr>
      </w:pPr>
    </w:p>
    <w:p w14:paraId="628552D0" w14:textId="7AEC7755" w:rsidR="00EA4011" w:rsidRDefault="00EA4011">
      <w:pPr>
        <w:rPr>
          <w:i/>
          <w:iCs/>
          <w:sz w:val="21"/>
          <w:szCs w:val="21"/>
        </w:rPr>
      </w:pPr>
      <w:r>
        <w:rPr>
          <w:i/>
          <w:iCs/>
          <w:noProof/>
          <w:sz w:val="21"/>
          <w:szCs w:val="21"/>
          <w14:ligatures w14:val="standardContextual"/>
        </w:rPr>
        <w:lastRenderedPageBreak/>
        <w:drawing>
          <wp:inline distT="0" distB="0" distL="0" distR="0" wp14:anchorId="5CAAF6A8" wp14:editId="7687AC4F">
            <wp:extent cx="4210872" cy="2870616"/>
            <wp:effectExtent l="0" t="0" r="5715" b="0"/>
            <wp:docPr id="7596674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7428" name="Imagen 7596674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34040" cy="2886410"/>
                    </a:xfrm>
                    <a:prstGeom prst="rect">
                      <a:avLst/>
                    </a:prstGeom>
                  </pic:spPr>
                </pic:pic>
              </a:graphicData>
            </a:graphic>
          </wp:inline>
        </w:drawing>
      </w:r>
    </w:p>
    <w:p w14:paraId="65E6D2F3" w14:textId="383708D2" w:rsidR="00BE53C8" w:rsidRDefault="00EA4011">
      <w:pPr>
        <w:rPr>
          <w:i/>
          <w:iCs/>
          <w:sz w:val="21"/>
          <w:szCs w:val="21"/>
        </w:rPr>
      </w:pPr>
      <w:r>
        <w:rPr>
          <w:i/>
          <w:iCs/>
          <w:sz w:val="21"/>
          <w:szCs w:val="21"/>
        </w:rPr>
        <w:t>Gráfica 2: G</w:t>
      </w:r>
      <w:r w:rsidRPr="00EA4011">
        <w:rPr>
          <w:i/>
          <w:iCs/>
          <w:sz w:val="21"/>
          <w:szCs w:val="21"/>
        </w:rPr>
        <w:t>ráfico temporal de Ventas y Gasto</w:t>
      </w:r>
      <w:r>
        <w:rPr>
          <w:i/>
          <w:iCs/>
          <w:sz w:val="21"/>
          <w:szCs w:val="21"/>
        </w:rPr>
        <w:t xml:space="preserve"> </w:t>
      </w:r>
      <w:r w:rsidRPr="00EA4011">
        <w:rPr>
          <w:i/>
          <w:iCs/>
          <w:sz w:val="21"/>
          <w:szCs w:val="21"/>
        </w:rPr>
        <w:t>Publicidad</w:t>
      </w:r>
    </w:p>
    <w:p w14:paraId="479216E6" w14:textId="77777777" w:rsidR="00EA4011" w:rsidRDefault="00EA4011">
      <w:pPr>
        <w:rPr>
          <w:i/>
          <w:iCs/>
          <w:sz w:val="21"/>
          <w:szCs w:val="21"/>
        </w:rPr>
      </w:pPr>
    </w:p>
    <w:p w14:paraId="2CD0493B" w14:textId="70B93B77" w:rsidR="00BE53C8" w:rsidRDefault="00BE53C8">
      <w:pPr>
        <w:rPr>
          <w:b/>
          <w:bCs/>
        </w:rPr>
      </w:pPr>
      <w:r w:rsidRPr="00BE53C8">
        <w:rPr>
          <w:b/>
          <w:bCs/>
        </w:rPr>
        <w:t>Punto 2</w:t>
      </w:r>
    </w:p>
    <w:p w14:paraId="11932A75" w14:textId="2A7BC842" w:rsidR="00BE53C8" w:rsidRDefault="00154732">
      <w:pPr>
        <w:rPr>
          <w:b/>
          <w:bCs/>
        </w:rPr>
      </w:pPr>
      <w:r>
        <w:rPr>
          <w:b/>
          <w:bCs/>
          <w:noProof/>
          <w14:ligatures w14:val="standardContextual"/>
        </w:rPr>
        <w:drawing>
          <wp:inline distT="0" distB="0" distL="0" distR="0" wp14:anchorId="69BE5927" wp14:editId="6247C61A">
            <wp:extent cx="4107305" cy="1913890"/>
            <wp:effectExtent l="0" t="0" r="0" b="3810"/>
            <wp:docPr id="922683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83533" name="Imagen 922683533"/>
                    <pic:cNvPicPr/>
                  </pic:nvPicPr>
                  <pic:blipFill rotWithShape="1">
                    <a:blip r:embed="rId9" cstate="print">
                      <a:extLst>
                        <a:ext uri="{28A0092B-C50C-407E-A947-70E740481C1C}">
                          <a14:useLocalDpi xmlns:a14="http://schemas.microsoft.com/office/drawing/2010/main" val="0"/>
                        </a:ext>
                      </a:extLst>
                    </a:blip>
                    <a:srcRect l="16827" t="3143" r="16099" b="35583"/>
                    <a:stretch>
                      <a:fillRect/>
                    </a:stretch>
                  </pic:blipFill>
                  <pic:spPr bwMode="auto">
                    <a:xfrm>
                      <a:off x="0" y="0"/>
                      <a:ext cx="4133212" cy="1925962"/>
                    </a:xfrm>
                    <a:prstGeom prst="rect">
                      <a:avLst/>
                    </a:prstGeom>
                    <a:ln>
                      <a:noFill/>
                    </a:ln>
                    <a:extLst>
                      <a:ext uri="{53640926-AAD7-44D8-BBD7-CCE9431645EC}">
                        <a14:shadowObscured xmlns:a14="http://schemas.microsoft.com/office/drawing/2010/main"/>
                      </a:ext>
                    </a:extLst>
                  </pic:spPr>
                </pic:pic>
              </a:graphicData>
            </a:graphic>
          </wp:inline>
        </w:drawing>
      </w:r>
    </w:p>
    <w:p w14:paraId="635A5DD9" w14:textId="5FCD9370" w:rsidR="00BE53C8" w:rsidRDefault="00BE53C8">
      <w:pPr>
        <w:rPr>
          <w:i/>
          <w:iCs/>
          <w:sz w:val="21"/>
          <w:szCs w:val="21"/>
        </w:rPr>
      </w:pPr>
      <w:r w:rsidRPr="00BE53C8">
        <w:rPr>
          <w:i/>
          <w:iCs/>
          <w:sz w:val="21"/>
          <w:szCs w:val="21"/>
        </w:rPr>
        <w:t>Tabla 2. Resumen Modelo</w:t>
      </w:r>
      <w:r w:rsidR="004439C9">
        <w:rPr>
          <w:i/>
          <w:iCs/>
          <w:sz w:val="21"/>
          <w:szCs w:val="21"/>
        </w:rPr>
        <w:t xml:space="preserve"> 1</w:t>
      </w:r>
      <w:r w:rsidRPr="00BE53C8">
        <w:rPr>
          <w:i/>
          <w:iCs/>
          <w:sz w:val="21"/>
          <w:szCs w:val="21"/>
        </w:rPr>
        <w:t xml:space="preserve"> Ventas – Gasto Publicidad</w:t>
      </w:r>
    </w:p>
    <w:p w14:paraId="440AA7C3" w14:textId="77777777" w:rsidR="00BE53C8" w:rsidRDefault="00BE53C8">
      <w:pPr>
        <w:rPr>
          <w:i/>
          <w:iCs/>
          <w:sz w:val="21"/>
          <w:szCs w:val="21"/>
        </w:rPr>
      </w:pPr>
    </w:p>
    <w:p w14:paraId="2DF599FB" w14:textId="77777777" w:rsidR="00BE53C8" w:rsidRDefault="00BE53C8" w:rsidP="00BE53C8">
      <w:pPr>
        <w:pStyle w:val="Prrafodelista"/>
        <w:numPr>
          <w:ilvl w:val="0"/>
          <w:numId w:val="1"/>
        </w:numPr>
        <w:jc w:val="both"/>
      </w:pPr>
      <w:r w:rsidRPr="00BE53C8">
        <w:t>Intercepto (~$754,839): ventas esperadas cuando el gasto en publicidad es $0. No tiene interpretación práctica directa, pero ancla la recta en el eje Y.</w:t>
      </w:r>
    </w:p>
    <w:p w14:paraId="30D0B096" w14:textId="77777777" w:rsidR="00BE53C8" w:rsidRPr="00BE53C8" w:rsidRDefault="00BE53C8" w:rsidP="00BE53C8">
      <w:pPr>
        <w:pStyle w:val="Prrafodelista"/>
        <w:numPr>
          <w:ilvl w:val="0"/>
          <w:numId w:val="1"/>
        </w:numPr>
        <w:jc w:val="both"/>
      </w:pPr>
      <w:r w:rsidRPr="00BE53C8">
        <w:t xml:space="preserve">Coeficiente Gasto_Publicidad (~7.47). </w:t>
      </w:r>
      <w:r>
        <w:t xml:space="preserve">Es decir, </w:t>
      </w:r>
      <w:r w:rsidRPr="00BE53C8">
        <w:t xml:space="preserve">en promedio, por cada $1 adicional invertido en publicidad, las ventas aumentan en aproximadamente $6.76, manteniendo todo lo demás constante. Esto sugiere que la publicidad tiene un efecto positivo sobre las ventas, ya que mayores inversiones están asociadas con mayores ingresos. </w:t>
      </w:r>
    </w:p>
    <w:p w14:paraId="6B13A45A" w14:textId="197010D3" w:rsidR="00BE53C8" w:rsidRPr="00BE53C8" w:rsidRDefault="00BE53C8" w:rsidP="00BE53C8">
      <w:pPr>
        <w:pStyle w:val="Prrafodelista"/>
        <w:numPr>
          <w:ilvl w:val="0"/>
          <w:numId w:val="1"/>
        </w:numPr>
        <w:jc w:val="both"/>
        <w:rPr>
          <w:b/>
          <w:bCs/>
        </w:rPr>
      </w:pPr>
      <w:r w:rsidRPr="00BE53C8">
        <w:t>El coeficiente de Gasto Publicidad es estadísticamente significativo (p &lt; 0.001, indicado con ***), lo que significa que existe evidencia sólida de que la publicidad influye en las ventas. Sin embargo, el R² = 0.1237 muestra que el modelo solo explica alrededor del 12.37% de la variación en las ventas. Esto implica que, aunque la relación es real y significativa, hay muchos otros factores no incluidos en el modelo que también afectan las ventas, por lo que el modelo es válido pero limitado en su capacidad explicativa.</w:t>
      </w:r>
    </w:p>
    <w:p w14:paraId="60F64AE7" w14:textId="77777777" w:rsidR="00BE53C8" w:rsidRDefault="00BE53C8" w:rsidP="00BE53C8">
      <w:pPr>
        <w:jc w:val="both"/>
        <w:rPr>
          <w:b/>
          <w:bCs/>
        </w:rPr>
      </w:pPr>
    </w:p>
    <w:p w14:paraId="36007AC4" w14:textId="77777777" w:rsidR="00CF51D9" w:rsidRDefault="00CF51D9" w:rsidP="00BE53C8">
      <w:pPr>
        <w:jc w:val="both"/>
        <w:rPr>
          <w:b/>
          <w:bCs/>
        </w:rPr>
      </w:pPr>
    </w:p>
    <w:p w14:paraId="2ED12345" w14:textId="54840C29" w:rsidR="00DD38D4" w:rsidRDefault="00DD38D4" w:rsidP="00BE53C8">
      <w:pPr>
        <w:jc w:val="both"/>
        <w:rPr>
          <w:b/>
          <w:bCs/>
        </w:rPr>
      </w:pPr>
      <w:r>
        <w:rPr>
          <w:b/>
          <w:bCs/>
        </w:rPr>
        <w:t>Punto 3</w:t>
      </w:r>
    </w:p>
    <w:p w14:paraId="11E791F8" w14:textId="77777777" w:rsidR="00DD38D4" w:rsidRDefault="00DD38D4" w:rsidP="00BE53C8">
      <w:pPr>
        <w:jc w:val="both"/>
        <w:rPr>
          <w:b/>
          <w:bCs/>
        </w:rPr>
      </w:pPr>
    </w:p>
    <w:p w14:paraId="5534D147" w14:textId="7F59E364" w:rsidR="00BE53C8" w:rsidRDefault="004439C9" w:rsidP="00BE53C8">
      <w:pPr>
        <w:jc w:val="both"/>
        <w:rPr>
          <w:b/>
          <w:bCs/>
        </w:rPr>
      </w:pPr>
      <w:r>
        <w:rPr>
          <w:b/>
          <w:bCs/>
          <w:noProof/>
          <w14:ligatures w14:val="standardContextual"/>
        </w:rPr>
        <w:drawing>
          <wp:inline distT="0" distB="0" distL="0" distR="0" wp14:anchorId="36757614" wp14:editId="4D302733">
            <wp:extent cx="4302177" cy="2250211"/>
            <wp:effectExtent l="0" t="0" r="3175" b="0"/>
            <wp:docPr id="17872753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75315" name="Imagen 1787275315"/>
                    <pic:cNvPicPr/>
                  </pic:nvPicPr>
                  <pic:blipFill rotWithShape="1">
                    <a:blip r:embed="rId10" cstate="print">
                      <a:extLst>
                        <a:ext uri="{28A0092B-C50C-407E-A947-70E740481C1C}">
                          <a14:useLocalDpi xmlns:a14="http://schemas.microsoft.com/office/drawing/2010/main" val="0"/>
                        </a:ext>
                      </a:extLst>
                    </a:blip>
                    <a:srcRect l="19499" t="3241" r="19195" b="26015"/>
                    <a:stretch>
                      <a:fillRect/>
                    </a:stretch>
                  </pic:blipFill>
                  <pic:spPr bwMode="auto">
                    <a:xfrm>
                      <a:off x="0" y="0"/>
                      <a:ext cx="4340407" cy="2270207"/>
                    </a:xfrm>
                    <a:prstGeom prst="rect">
                      <a:avLst/>
                    </a:prstGeom>
                    <a:ln>
                      <a:noFill/>
                    </a:ln>
                    <a:extLst>
                      <a:ext uri="{53640926-AAD7-44D8-BBD7-CCE9431645EC}">
                        <a14:shadowObscured xmlns:a14="http://schemas.microsoft.com/office/drawing/2010/main"/>
                      </a:ext>
                    </a:extLst>
                  </pic:spPr>
                </pic:pic>
              </a:graphicData>
            </a:graphic>
          </wp:inline>
        </w:drawing>
      </w:r>
    </w:p>
    <w:p w14:paraId="523AB528" w14:textId="3F61362A" w:rsidR="004439C9" w:rsidRDefault="004439C9" w:rsidP="00BE53C8">
      <w:pPr>
        <w:jc w:val="both"/>
        <w:rPr>
          <w:i/>
          <w:iCs/>
          <w:sz w:val="21"/>
          <w:szCs w:val="21"/>
        </w:rPr>
      </w:pPr>
      <w:r w:rsidRPr="00BE53C8">
        <w:rPr>
          <w:i/>
          <w:iCs/>
          <w:sz w:val="21"/>
          <w:szCs w:val="21"/>
        </w:rPr>
        <w:t>Tabla</w:t>
      </w:r>
      <w:r>
        <w:rPr>
          <w:i/>
          <w:iCs/>
          <w:sz w:val="21"/>
          <w:szCs w:val="21"/>
        </w:rPr>
        <w:t xml:space="preserve"> 3</w:t>
      </w:r>
      <w:r w:rsidRPr="00BE53C8">
        <w:rPr>
          <w:i/>
          <w:iCs/>
          <w:sz w:val="21"/>
          <w:szCs w:val="21"/>
        </w:rPr>
        <w:t>. Resumen Modelo</w:t>
      </w:r>
      <w:r>
        <w:rPr>
          <w:i/>
          <w:iCs/>
          <w:sz w:val="21"/>
          <w:szCs w:val="21"/>
        </w:rPr>
        <w:t xml:space="preserve"> 2</w:t>
      </w:r>
      <w:r w:rsidRPr="00BE53C8">
        <w:rPr>
          <w:i/>
          <w:iCs/>
          <w:sz w:val="21"/>
          <w:szCs w:val="21"/>
        </w:rPr>
        <w:t xml:space="preserve"> Ventas – Gasto Publicidad</w:t>
      </w:r>
      <w:r>
        <w:rPr>
          <w:i/>
          <w:iCs/>
          <w:sz w:val="21"/>
          <w:szCs w:val="21"/>
        </w:rPr>
        <w:t xml:space="preserve"> + Holliday Season</w:t>
      </w:r>
    </w:p>
    <w:p w14:paraId="1263123A" w14:textId="77777777" w:rsidR="004439C9" w:rsidRDefault="004439C9" w:rsidP="00BE53C8">
      <w:pPr>
        <w:jc w:val="both"/>
        <w:rPr>
          <w:i/>
          <w:iCs/>
          <w:sz w:val="21"/>
          <w:szCs w:val="21"/>
        </w:rPr>
      </w:pPr>
    </w:p>
    <w:p w14:paraId="27DE7D10" w14:textId="77777777" w:rsidR="00CF51D9" w:rsidRDefault="00CF51D9" w:rsidP="00CF51D9">
      <w:pPr>
        <w:numPr>
          <w:ilvl w:val="0"/>
          <w:numId w:val="3"/>
        </w:numPr>
        <w:spacing w:before="100" w:beforeAutospacing="1" w:after="100" w:afterAutospacing="1"/>
        <w:jc w:val="both"/>
      </w:pPr>
      <w:r>
        <w:t>Al incluir la variable de estacionalidad (</w:t>
      </w:r>
      <w:r>
        <w:rPr>
          <w:rStyle w:val="nfasis"/>
        </w:rPr>
        <w:t>Holliday_seasson</w:t>
      </w:r>
      <w:r>
        <w:t xml:space="preserve">), el coeficiente de Gasto_Publicidad disminuye (de ~6.76 en el modelo anterior a ~3.55). Esto ocurre porque ahora el modelo separa el efecto de la estacionalidad sobre las ventas. En el modelo simple, parte del efecto que parecía provenir de la publicidad en realidad estaba capturando variaciones estacionales. Al controlar por este factor, el impacto “puro” de la publicidad sobre las ventas es menor, pero más preciso. </w:t>
      </w:r>
    </w:p>
    <w:p w14:paraId="69F5C668" w14:textId="22A97DDE" w:rsidR="004439C9" w:rsidRDefault="00CF51D9" w:rsidP="00CF51D9">
      <w:pPr>
        <w:pStyle w:val="Prrafodelista"/>
        <w:numPr>
          <w:ilvl w:val="0"/>
          <w:numId w:val="3"/>
        </w:numPr>
        <w:jc w:val="both"/>
      </w:pPr>
      <w:r w:rsidRPr="00CF51D9">
        <w:rPr>
          <w:rStyle w:val="Textoennegrita"/>
          <w:b w:val="0"/>
          <w:bCs w:val="0"/>
        </w:rPr>
        <w:t>Coeficiente de Holliday_seasson (~−$605,446). Este indica</w:t>
      </w:r>
      <w:r w:rsidRPr="00CF51D9">
        <w:t xml:space="preserve"> que, durante las semanas de baja estacionalidad (como finales de diciembre y enero), las ventas disminuyen en promedio en aproximadamente $605,446 en comparación con semanas normales, manteniendo constante el gasto en publicidad. Este efecto es altamente significativo (p &lt; 0.001), lo que confirma que la estacionalidad tiene un impacto fuerte y sistemático sobre las ventas.</w:t>
      </w:r>
    </w:p>
    <w:p w14:paraId="0C63C178" w14:textId="77777777" w:rsidR="00CF51D9" w:rsidRDefault="00CF51D9" w:rsidP="00CF51D9">
      <w:pPr>
        <w:numPr>
          <w:ilvl w:val="0"/>
          <w:numId w:val="3"/>
        </w:numPr>
        <w:spacing w:before="100" w:beforeAutospacing="1" w:after="100" w:afterAutospacing="1"/>
        <w:jc w:val="both"/>
      </w:pPr>
      <w:r>
        <w:t xml:space="preserve">El R² aumenta a 0.2541, lo que significa que ahora el modelo explica alrededor del 25.41% de la variación en las ventas, más del doble que en el modelo anterior (~12%). Esto indica que incluir la estacionalidad mejora significativamente la capacidad explicativa del modelo, aunque aún quedan otros factores importantes por explicar. </w:t>
      </w:r>
    </w:p>
    <w:p w14:paraId="59CB7194" w14:textId="77777777" w:rsidR="0032517B" w:rsidRDefault="0032517B" w:rsidP="0032517B">
      <w:pPr>
        <w:jc w:val="both"/>
        <w:rPr>
          <w:b/>
          <w:bCs/>
        </w:rPr>
      </w:pPr>
    </w:p>
    <w:p w14:paraId="2D60A0DA" w14:textId="77777777" w:rsidR="0032517B" w:rsidRDefault="0032517B" w:rsidP="0032517B">
      <w:pPr>
        <w:jc w:val="both"/>
        <w:rPr>
          <w:b/>
          <w:bCs/>
        </w:rPr>
      </w:pPr>
    </w:p>
    <w:p w14:paraId="1000423A" w14:textId="77777777" w:rsidR="0032517B" w:rsidRDefault="0032517B" w:rsidP="0032517B">
      <w:pPr>
        <w:jc w:val="both"/>
        <w:rPr>
          <w:b/>
          <w:bCs/>
        </w:rPr>
      </w:pPr>
    </w:p>
    <w:p w14:paraId="1C70C0C2" w14:textId="77777777" w:rsidR="0032517B" w:rsidRDefault="0032517B" w:rsidP="0032517B">
      <w:pPr>
        <w:jc w:val="both"/>
        <w:rPr>
          <w:b/>
          <w:bCs/>
        </w:rPr>
      </w:pPr>
    </w:p>
    <w:p w14:paraId="0382FE09" w14:textId="77777777" w:rsidR="0032517B" w:rsidRDefault="0032517B" w:rsidP="0032517B">
      <w:pPr>
        <w:jc w:val="both"/>
        <w:rPr>
          <w:b/>
          <w:bCs/>
        </w:rPr>
      </w:pPr>
    </w:p>
    <w:p w14:paraId="7CDE8CE7" w14:textId="77777777" w:rsidR="0032517B" w:rsidRDefault="0032517B" w:rsidP="0032517B">
      <w:pPr>
        <w:jc w:val="both"/>
        <w:rPr>
          <w:b/>
          <w:bCs/>
        </w:rPr>
      </w:pPr>
    </w:p>
    <w:p w14:paraId="57D5D56C" w14:textId="77777777" w:rsidR="0032517B" w:rsidRDefault="0032517B" w:rsidP="0032517B">
      <w:pPr>
        <w:jc w:val="both"/>
        <w:rPr>
          <w:b/>
          <w:bCs/>
        </w:rPr>
      </w:pPr>
    </w:p>
    <w:p w14:paraId="06DD3819" w14:textId="77777777" w:rsidR="0032517B" w:rsidRDefault="0032517B" w:rsidP="0032517B">
      <w:pPr>
        <w:jc w:val="both"/>
        <w:rPr>
          <w:b/>
          <w:bCs/>
        </w:rPr>
      </w:pPr>
    </w:p>
    <w:p w14:paraId="607AD153" w14:textId="77777777" w:rsidR="0032517B" w:rsidRDefault="0032517B" w:rsidP="0032517B">
      <w:pPr>
        <w:jc w:val="both"/>
        <w:rPr>
          <w:b/>
          <w:bCs/>
        </w:rPr>
      </w:pPr>
    </w:p>
    <w:p w14:paraId="128E61F2" w14:textId="77777777" w:rsidR="0032517B" w:rsidRDefault="0032517B" w:rsidP="0032517B">
      <w:pPr>
        <w:jc w:val="both"/>
        <w:rPr>
          <w:b/>
          <w:bCs/>
        </w:rPr>
      </w:pPr>
    </w:p>
    <w:p w14:paraId="4F586D9A" w14:textId="77777777" w:rsidR="0032517B" w:rsidRDefault="0032517B" w:rsidP="0032517B">
      <w:pPr>
        <w:jc w:val="both"/>
        <w:rPr>
          <w:b/>
          <w:bCs/>
        </w:rPr>
      </w:pPr>
    </w:p>
    <w:p w14:paraId="363B0873" w14:textId="77777777" w:rsidR="0032517B" w:rsidRDefault="0032517B" w:rsidP="0032517B">
      <w:pPr>
        <w:jc w:val="both"/>
        <w:rPr>
          <w:b/>
          <w:bCs/>
        </w:rPr>
      </w:pPr>
    </w:p>
    <w:p w14:paraId="0AA2C868" w14:textId="77777777" w:rsidR="0032517B" w:rsidRDefault="0032517B" w:rsidP="0032517B">
      <w:pPr>
        <w:jc w:val="both"/>
        <w:rPr>
          <w:b/>
          <w:bCs/>
        </w:rPr>
      </w:pPr>
    </w:p>
    <w:p w14:paraId="6C2F94EB" w14:textId="11BFEAE3" w:rsidR="00CF51D9" w:rsidRPr="0032517B" w:rsidRDefault="0032517B" w:rsidP="0032517B">
      <w:pPr>
        <w:jc w:val="both"/>
        <w:rPr>
          <w:b/>
          <w:bCs/>
        </w:rPr>
      </w:pPr>
      <w:r w:rsidRPr="0032517B">
        <w:rPr>
          <w:b/>
          <w:bCs/>
        </w:rPr>
        <w:t>Punto 4</w:t>
      </w:r>
    </w:p>
    <w:p w14:paraId="7A61FD20" w14:textId="40E9FAB9" w:rsidR="0032517B" w:rsidRDefault="0032517B" w:rsidP="0032517B">
      <w:pPr>
        <w:jc w:val="both"/>
      </w:pPr>
      <w:r>
        <w:rPr>
          <w:noProof/>
          <w14:ligatures w14:val="standardContextual"/>
        </w:rPr>
        <w:drawing>
          <wp:inline distT="0" distB="0" distL="0" distR="0" wp14:anchorId="6B446352" wp14:editId="18F74CBE">
            <wp:extent cx="4353231" cy="2181069"/>
            <wp:effectExtent l="0" t="0" r="3175" b="3810"/>
            <wp:docPr id="1254377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77075" name="Imagen 1254377075"/>
                    <pic:cNvPicPr/>
                  </pic:nvPicPr>
                  <pic:blipFill rotWithShape="1">
                    <a:blip r:embed="rId11" cstate="print">
                      <a:extLst>
                        <a:ext uri="{28A0092B-C50C-407E-A947-70E740481C1C}">
                          <a14:useLocalDpi xmlns:a14="http://schemas.microsoft.com/office/drawing/2010/main" val="0"/>
                        </a:ext>
                      </a:extLst>
                    </a:blip>
                    <a:srcRect l="14423" t="3667" r="13857" b="25885"/>
                    <a:stretch>
                      <a:fillRect/>
                    </a:stretch>
                  </pic:blipFill>
                  <pic:spPr bwMode="auto">
                    <a:xfrm>
                      <a:off x="0" y="0"/>
                      <a:ext cx="4366858" cy="2187896"/>
                    </a:xfrm>
                    <a:prstGeom prst="rect">
                      <a:avLst/>
                    </a:prstGeom>
                    <a:ln>
                      <a:noFill/>
                    </a:ln>
                    <a:extLst>
                      <a:ext uri="{53640926-AAD7-44D8-BBD7-CCE9431645EC}">
                        <a14:shadowObscured xmlns:a14="http://schemas.microsoft.com/office/drawing/2010/main"/>
                      </a:ext>
                    </a:extLst>
                  </pic:spPr>
                </pic:pic>
              </a:graphicData>
            </a:graphic>
          </wp:inline>
        </w:drawing>
      </w:r>
    </w:p>
    <w:p w14:paraId="49D9A07F" w14:textId="07228976" w:rsidR="0032517B" w:rsidRDefault="0032517B" w:rsidP="0032517B">
      <w:pPr>
        <w:jc w:val="both"/>
        <w:rPr>
          <w:i/>
          <w:iCs/>
          <w:sz w:val="21"/>
          <w:szCs w:val="21"/>
        </w:rPr>
      </w:pPr>
      <w:r w:rsidRPr="00BE53C8">
        <w:rPr>
          <w:i/>
          <w:iCs/>
          <w:sz w:val="21"/>
          <w:szCs w:val="21"/>
        </w:rPr>
        <w:t>Tabla</w:t>
      </w:r>
      <w:r>
        <w:rPr>
          <w:i/>
          <w:iCs/>
          <w:sz w:val="21"/>
          <w:szCs w:val="21"/>
        </w:rPr>
        <w:t xml:space="preserve"> 4</w:t>
      </w:r>
      <w:r w:rsidRPr="00BE53C8">
        <w:rPr>
          <w:i/>
          <w:iCs/>
          <w:sz w:val="21"/>
          <w:szCs w:val="21"/>
        </w:rPr>
        <w:t>. Resumen Modelo</w:t>
      </w:r>
      <w:r>
        <w:rPr>
          <w:i/>
          <w:iCs/>
          <w:sz w:val="21"/>
          <w:szCs w:val="21"/>
        </w:rPr>
        <w:t xml:space="preserve"> 3</w:t>
      </w:r>
      <w:r w:rsidRPr="00BE53C8">
        <w:rPr>
          <w:i/>
          <w:iCs/>
          <w:sz w:val="21"/>
          <w:szCs w:val="21"/>
        </w:rPr>
        <w:t xml:space="preserve"> </w:t>
      </w:r>
      <w:r>
        <w:rPr>
          <w:i/>
          <w:iCs/>
          <w:sz w:val="21"/>
          <w:szCs w:val="21"/>
        </w:rPr>
        <w:t xml:space="preserve">Log </w:t>
      </w:r>
      <w:r w:rsidRPr="00BE53C8">
        <w:rPr>
          <w:i/>
          <w:iCs/>
          <w:sz w:val="21"/>
          <w:szCs w:val="21"/>
        </w:rPr>
        <w:t>Ventas – Gasto Publicidad</w:t>
      </w:r>
      <w:r>
        <w:rPr>
          <w:i/>
          <w:iCs/>
          <w:sz w:val="21"/>
          <w:szCs w:val="21"/>
        </w:rPr>
        <w:t xml:space="preserve"> + Holliday Season</w:t>
      </w:r>
    </w:p>
    <w:p w14:paraId="4856C81D" w14:textId="77777777" w:rsidR="0032517B" w:rsidRDefault="0032517B" w:rsidP="0032517B">
      <w:pPr>
        <w:jc w:val="both"/>
        <w:rPr>
          <w:i/>
          <w:iCs/>
          <w:sz w:val="21"/>
          <w:szCs w:val="21"/>
        </w:rPr>
      </w:pPr>
    </w:p>
    <w:p w14:paraId="14E1B76B" w14:textId="7DE30C55" w:rsidR="0032517B" w:rsidRDefault="00FA14B3" w:rsidP="00FA14B3">
      <w:pPr>
        <w:pStyle w:val="Prrafodelista"/>
        <w:numPr>
          <w:ilvl w:val="0"/>
          <w:numId w:val="5"/>
        </w:numPr>
        <w:jc w:val="both"/>
      </w:pPr>
      <w:r>
        <w:t xml:space="preserve">Dado que la variable dependiente está en logaritmos y la independiente está en niveles, este coeficiente se interpreta como </w:t>
      </w:r>
      <w:r w:rsidRPr="00FA14B3">
        <w:t>una</w:t>
      </w:r>
      <w:r w:rsidRPr="00FA14B3">
        <w:rPr>
          <w:b/>
          <w:bCs/>
        </w:rPr>
        <w:t xml:space="preserve"> </w:t>
      </w:r>
      <w:r w:rsidRPr="00FA14B3">
        <w:rPr>
          <w:rStyle w:val="Textoennegrita"/>
          <w:b w:val="0"/>
          <w:bCs w:val="0"/>
        </w:rPr>
        <w:t>semi-elasticidad</w:t>
      </w:r>
      <w:r w:rsidRPr="00FA14B3">
        <w:rPr>
          <w:b/>
          <w:bCs/>
        </w:rPr>
        <w:t>.</w:t>
      </w:r>
      <w:r>
        <w:t xml:space="preserve"> Esto significa que un aumento de $1 en gasto en publicidad incrementa las ventas en aproximadamente 0.0003% (0.000003 × 100), manteniendo constante la estacionalidad.</w:t>
      </w:r>
    </w:p>
    <w:p w14:paraId="68072BEA" w14:textId="77777777" w:rsidR="00FA14B3" w:rsidRDefault="00FA14B3" w:rsidP="00FA14B3">
      <w:pPr>
        <w:numPr>
          <w:ilvl w:val="0"/>
          <w:numId w:val="5"/>
        </w:numPr>
        <w:spacing w:before="100" w:beforeAutospacing="1" w:after="100" w:afterAutospacing="1"/>
        <w:jc w:val="both"/>
      </w:pPr>
      <w:r w:rsidRPr="00FA14B3">
        <w:rPr>
          <w:rStyle w:val="Textoennegrita"/>
          <w:b w:val="0"/>
          <w:bCs w:val="0"/>
        </w:rPr>
        <w:t>Intercepto (~13.82). Este</w:t>
      </w:r>
      <w:r>
        <w:rPr>
          <w:rStyle w:val="Textoennegrita"/>
        </w:rPr>
        <w:t xml:space="preserve"> </w:t>
      </w:r>
      <w:r>
        <w:t xml:space="preserve">representa el logaritmo natural de las ventas esperadas cuando el gasto en publicidad es 0 y no hay efecto de estacionalidad (Holliday_seasson = 0). Para interpretarlo en términos de ventas reales, se debe aplicar la función exponencial: Ventas base ≈ e^(13.82). </w:t>
      </w:r>
    </w:p>
    <w:p w14:paraId="584AB473" w14:textId="4230DFD1" w:rsidR="00FA14B3" w:rsidRDefault="00FA14B3" w:rsidP="00FA14B3">
      <w:pPr>
        <w:spacing w:before="100" w:beforeAutospacing="1" w:after="100" w:afterAutospacing="1"/>
        <w:ind w:left="720"/>
        <w:jc w:val="both"/>
      </w:pPr>
      <w:r>
        <w:t>Esto corresponde al nivel estimado de ventas en condiciones “normales” sin publicidad ni efectos estacionales. Aunque su interpretación directa no siempre es intuitiva, sirve como punto de referencia del modelo.</w:t>
      </w:r>
    </w:p>
    <w:p w14:paraId="551B7072" w14:textId="77777777" w:rsidR="00254ED5" w:rsidRPr="00F37A19" w:rsidRDefault="00254ED5" w:rsidP="00254ED5">
      <w:pPr>
        <w:spacing w:before="100" w:beforeAutospacing="1" w:after="100" w:afterAutospacing="1"/>
        <w:jc w:val="both"/>
        <w:rPr>
          <w:b/>
          <w:bCs/>
        </w:rPr>
      </w:pPr>
      <w:r w:rsidRPr="00F37A19">
        <w:rPr>
          <w:b/>
          <w:bCs/>
        </w:rPr>
        <w:t>Punto 5</w:t>
      </w:r>
    </w:p>
    <w:p w14:paraId="18B599B6" w14:textId="77777777" w:rsidR="00254ED5" w:rsidRPr="00F37A19" w:rsidRDefault="00254ED5" w:rsidP="00254ED5">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ascii="Times New Roman" w:hAnsi="Times New Roman" w:cs="Times New Roman"/>
          <w:lang w:val="es-CO"/>
        </w:rPr>
      </w:pPr>
      <w:r w:rsidRPr="00F37A19">
        <w:rPr>
          <w:rFonts w:ascii="Times New Roman" w:eastAsia="Helvetica" w:hAnsi="Times New Roman" w:cs="Times New Roman"/>
          <w:i w:val="0"/>
          <w:color w:val="000000"/>
          <w:lang w:val="es-CO"/>
        </w:rPr>
        <w:t>Modelo 4: Log(Ventas) — Resultados de Regresión</w:t>
      </w:r>
    </w:p>
    <w:tbl>
      <w:tblPr>
        <w:tblW w:w="9748" w:type="dxa"/>
        <w:jc w:val="center"/>
        <w:tblLayout w:type="fixed"/>
        <w:tblLook w:val="0420" w:firstRow="1" w:lastRow="0" w:firstColumn="0" w:lastColumn="0" w:noHBand="0" w:noVBand="1"/>
      </w:tblPr>
      <w:tblGrid>
        <w:gridCol w:w="3309"/>
        <w:gridCol w:w="1596"/>
        <w:gridCol w:w="1413"/>
        <w:gridCol w:w="1206"/>
        <w:gridCol w:w="1144"/>
        <w:gridCol w:w="1080"/>
      </w:tblGrid>
      <w:tr w:rsidR="00254ED5" w:rsidRPr="00F37A19" w14:paraId="43F35081" w14:textId="77777777" w:rsidTr="003F6901">
        <w:trPr>
          <w:tblHeader/>
          <w:jc w:val="center"/>
        </w:trPr>
        <w:tc>
          <w:tcPr>
            <w:tcW w:w="3309" w:type="dxa"/>
            <w:tcBorders>
              <w:top w:val="single" w:sz="12" w:space="0" w:color="666666"/>
              <w:left w:val="none" w:sz="0" w:space="0" w:color="000000"/>
              <w:bottom w:val="single" w:sz="12" w:space="0" w:color="666666"/>
              <w:right w:val="none" w:sz="0" w:space="0" w:color="000000"/>
            </w:tcBorders>
            <w:shd w:val="clear" w:color="auto" w:fill="DEEAF1"/>
            <w:tcMar>
              <w:top w:w="0" w:type="dxa"/>
              <w:left w:w="0" w:type="dxa"/>
              <w:bottom w:w="0" w:type="dxa"/>
              <w:right w:w="0" w:type="dxa"/>
            </w:tcMar>
            <w:vAlign w:val="center"/>
          </w:tcPr>
          <w:p w14:paraId="09D69BDC"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rPr>
            </w:pPr>
            <w:r w:rsidRPr="00F37A19">
              <w:rPr>
                <w:rFonts w:eastAsia="Helvetica"/>
                <w:b/>
                <w:color w:val="000000"/>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DEEAF1"/>
            <w:tcMar>
              <w:top w:w="0" w:type="dxa"/>
              <w:left w:w="0" w:type="dxa"/>
              <w:bottom w:w="0" w:type="dxa"/>
              <w:right w:w="0" w:type="dxa"/>
            </w:tcMar>
            <w:vAlign w:val="center"/>
          </w:tcPr>
          <w:p w14:paraId="0925F801"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b/>
                <w:color w:val="000000"/>
              </w:rPr>
            </w:pPr>
            <w:r w:rsidRPr="00F37A19">
              <w:rPr>
                <w:rFonts w:eastAsia="Helvetica"/>
                <w:b/>
                <w:color w:val="000000"/>
              </w:rPr>
              <w:t>Coeficiente</w:t>
            </w:r>
          </w:p>
        </w:tc>
        <w:tc>
          <w:tcPr>
            <w:tcW w:w="1413" w:type="dxa"/>
            <w:tcBorders>
              <w:top w:val="single" w:sz="12" w:space="0" w:color="666666"/>
              <w:left w:val="none" w:sz="0" w:space="0" w:color="000000"/>
              <w:bottom w:val="single" w:sz="12" w:space="0" w:color="666666"/>
              <w:right w:val="none" w:sz="0" w:space="0" w:color="000000"/>
            </w:tcBorders>
            <w:shd w:val="clear" w:color="auto" w:fill="DEEAF1"/>
            <w:tcMar>
              <w:top w:w="0" w:type="dxa"/>
              <w:left w:w="0" w:type="dxa"/>
              <w:bottom w:w="0" w:type="dxa"/>
              <w:right w:w="0" w:type="dxa"/>
            </w:tcMar>
            <w:vAlign w:val="center"/>
          </w:tcPr>
          <w:p w14:paraId="10A7F0DE"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b/>
                <w:color w:val="000000"/>
              </w:rPr>
            </w:pPr>
            <w:r w:rsidRPr="00F37A19">
              <w:rPr>
                <w:rFonts w:eastAsia="Helvetica"/>
                <w:b/>
                <w:color w:val="000000"/>
              </w:rPr>
              <w:t>Error Est.</w:t>
            </w:r>
          </w:p>
        </w:tc>
        <w:tc>
          <w:tcPr>
            <w:tcW w:w="1206" w:type="dxa"/>
            <w:tcBorders>
              <w:top w:val="single" w:sz="12" w:space="0" w:color="666666"/>
              <w:left w:val="none" w:sz="0" w:space="0" w:color="000000"/>
              <w:bottom w:val="single" w:sz="12" w:space="0" w:color="666666"/>
              <w:right w:val="none" w:sz="0" w:space="0" w:color="000000"/>
            </w:tcBorders>
            <w:shd w:val="clear" w:color="auto" w:fill="DEEAF1"/>
            <w:tcMar>
              <w:top w:w="0" w:type="dxa"/>
              <w:left w:w="0" w:type="dxa"/>
              <w:bottom w:w="0" w:type="dxa"/>
              <w:right w:w="0" w:type="dxa"/>
            </w:tcMar>
            <w:vAlign w:val="center"/>
          </w:tcPr>
          <w:p w14:paraId="15D03876"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b/>
                <w:color w:val="000000"/>
              </w:rPr>
            </w:pPr>
            <w:r w:rsidRPr="00F37A19">
              <w:rPr>
                <w:rFonts w:eastAsia="Helvetica"/>
                <w:b/>
                <w:color w:val="000000"/>
              </w:rPr>
              <w:t>t</w:t>
            </w:r>
          </w:p>
        </w:tc>
        <w:tc>
          <w:tcPr>
            <w:tcW w:w="1144" w:type="dxa"/>
            <w:tcBorders>
              <w:top w:val="single" w:sz="12" w:space="0" w:color="666666"/>
              <w:left w:val="none" w:sz="0" w:space="0" w:color="000000"/>
              <w:bottom w:val="single" w:sz="12" w:space="0" w:color="666666"/>
              <w:right w:val="none" w:sz="0" w:space="0" w:color="000000"/>
            </w:tcBorders>
            <w:shd w:val="clear" w:color="auto" w:fill="DEEAF1"/>
            <w:tcMar>
              <w:top w:w="0" w:type="dxa"/>
              <w:left w:w="0" w:type="dxa"/>
              <w:bottom w:w="0" w:type="dxa"/>
              <w:right w:w="0" w:type="dxa"/>
            </w:tcMar>
            <w:vAlign w:val="center"/>
          </w:tcPr>
          <w:p w14:paraId="7012C91A"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b/>
                <w:color w:val="000000"/>
              </w:rPr>
            </w:pPr>
            <w:r w:rsidRPr="00F37A19">
              <w:rPr>
                <w:rFonts w:eastAsia="Helvetica"/>
                <w:b/>
                <w:color w:val="000000"/>
              </w:rPr>
              <w:t>p-valor</w:t>
            </w:r>
          </w:p>
        </w:tc>
        <w:tc>
          <w:tcPr>
            <w:tcW w:w="1080" w:type="dxa"/>
            <w:tcBorders>
              <w:top w:val="single" w:sz="12" w:space="0" w:color="666666"/>
              <w:left w:val="none" w:sz="0" w:space="0" w:color="000000"/>
              <w:bottom w:val="single" w:sz="12" w:space="0" w:color="666666"/>
              <w:right w:val="none" w:sz="0" w:space="0" w:color="000000"/>
            </w:tcBorders>
            <w:shd w:val="clear" w:color="auto" w:fill="DEEAF1"/>
            <w:tcMar>
              <w:top w:w="0" w:type="dxa"/>
              <w:left w:w="0" w:type="dxa"/>
              <w:bottom w:w="0" w:type="dxa"/>
              <w:right w:w="0" w:type="dxa"/>
            </w:tcMar>
            <w:vAlign w:val="center"/>
          </w:tcPr>
          <w:p w14:paraId="1BB9DA2A"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b/>
                <w:color w:val="000000"/>
              </w:rPr>
            </w:pPr>
            <w:r w:rsidRPr="00F37A19">
              <w:rPr>
                <w:rFonts w:eastAsia="Helvetica"/>
                <w:b/>
                <w:color w:val="000000"/>
              </w:rPr>
              <w:t>Sig.</w:t>
            </w:r>
          </w:p>
        </w:tc>
      </w:tr>
      <w:tr w:rsidR="00254ED5" w:rsidRPr="00F37A19" w14:paraId="44E3AF3A" w14:textId="77777777" w:rsidTr="003F6901">
        <w:trPr>
          <w:jc w:val="center"/>
        </w:trPr>
        <w:tc>
          <w:tcPr>
            <w:tcW w:w="3309"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643722"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(Intercept)</w:t>
            </w:r>
          </w:p>
        </w:tc>
        <w:tc>
          <w:tcPr>
            <w:tcW w:w="159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A3FE1F"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13.5852</w:t>
            </w:r>
          </w:p>
        </w:tc>
        <w:tc>
          <w:tcPr>
            <w:tcW w:w="1413"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58E53F"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0.3095</w:t>
            </w:r>
          </w:p>
        </w:tc>
        <w:tc>
          <w:tcPr>
            <w:tcW w:w="120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5F70A4"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43.8898</w:t>
            </w:r>
          </w:p>
        </w:tc>
        <w:tc>
          <w:tcPr>
            <w:tcW w:w="114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70F362"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0.0000</w:t>
            </w:r>
          </w:p>
        </w:tc>
        <w:tc>
          <w:tcPr>
            <w:tcW w:w="10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35CC18"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w:t>
            </w:r>
          </w:p>
        </w:tc>
      </w:tr>
      <w:tr w:rsidR="00254ED5" w:rsidRPr="00F37A19" w14:paraId="456C59FA"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C61D3C"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Gasto_Publicidad</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C667A"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0.0000</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D454E0"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0.0000</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C8E73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2.0419</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5A507E"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0.0435</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CEB7C1"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w:t>
            </w:r>
          </w:p>
        </w:tc>
      </w:tr>
      <w:tr w:rsidR="00254ED5" w:rsidRPr="00F37A19" w14:paraId="47F4DD8B"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C4B731"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Holliday_seasson</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B4B7CD"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-0.7267</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FC2DFA"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0.1179</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CCF58"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-6.1661</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2B692B"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0.0000</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E5662"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w:t>
            </w:r>
          </w:p>
        </w:tc>
      </w:tr>
      <w:tr w:rsidR="00254ED5" w:rsidRPr="00F37A19" w14:paraId="114A2D74"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E405B9"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Flights_to_Nashville</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BC5716"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0.0000</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5A867"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0.0000</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FA6736"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0.7171</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565CC1"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0.4749</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3145A9"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3A847D8E"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BE7270"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Google_Trends_Opry</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390E79"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0.0017</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D255A"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0.0034</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BECF07"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0.5115</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19178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0.6100</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A7B982"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57B0F1A4"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D1757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thanksgiving</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936D7C"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-0.2570</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DBE411"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0.2406</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C95EF4"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-1.0681</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C9D5E"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0.2878</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3DFA1D"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6E804A81"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308E1"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lastRenderedPageBreak/>
              <w:t>week_before_christmas</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E87395"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0.0771</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A6FEC9"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0.2467</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892ED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0.3124</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62B45"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0.7553</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6CF02"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60B2C2A9"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71B58"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two_weeks_before_christmas</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A0C8C5"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0.0954</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432A8C"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0.2443</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C415CD"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0.3904</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852440"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0.6970</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CC8FBB"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067C5756"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2C368"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temporada_alta</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6F49D8"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0.1012</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70ADE0"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0.0739</w:t>
            </w: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B2C0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1.3695</w:t>
            </w: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44D6C"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0.1736</w:t>
            </w: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FB1C5F"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71615EA0" w14:textId="77777777" w:rsidTr="003F6901">
        <w:trPr>
          <w:jc w:val="center"/>
        </w:trPr>
        <w:tc>
          <w:tcPr>
            <w:tcW w:w="3309"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F2427"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R²</w:t>
            </w:r>
          </w:p>
        </w:tc>
        <w:tc>
          <w:tcPr>
            <w:tcW w:w="159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AE8ED"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0.4159</w:t>
            </w:r>
          </w:p>
        </w:tc>
        <w:tc>
          <w:tcPr>
            <w:tcW w:w="1413"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169036"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c>
          <w:tcPr>
            <w:tcW w:w="120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A71F5E"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c>
          <w:tcPr>
            <w:tcW w:w="114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6B1205"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c>
          <w:tcPr>
            <w:tcW w:w="10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F1E7D"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212CA170" w14:textId="77777777" w:rsidTr="003F6901">
        <w:trPr>
          <w:jc w:val="center"/>
        </w:trPr>
        <w:tc>
          <w:tcPr>
            <w:tcW w:w="3309"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78095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R² Adj.</w:t>
            </w:r>
          </w:p>
        </w:tc>
        <w:tc>
          <w:tcPr>
            <w:tcW w:w="159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0A8FE3"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r w:rsidRPr="00F37A19">
              <w:rPr>
                <w:rFonts w:eastAsia="Helvetica"/>
                <w:color w:val="000000"/>
              </w:rPr>
              <w:t>0.3735</w:t>
            </w:r>
          </w:p>
        </w:tc>
        <w:tc>
          <w:tcPr>
            <w:tcW w:w="1413"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3EF664"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c>
          <w:tcPr>
            <w:tcW w:w="120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7F4F25"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c>
          <w:tcPr>
            <w:tcW w:w="114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0BF8BC"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c>
          <w:tcPr>
            <w:tcW w:w="10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522A47"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jc w:val="center"/>
              <w:rPr>
                <w:rFonts w:eastAsia="Helvetica"/>
                <w:color w:val="000000"/>
              </w:rPr>
            </w:pPr>
          </w:p>
        </w:tc>
      </w:tr>
      <w:tr w:rsidR="00254ED5" w:rsidRPr="00F37A19" w14:paraId="7676EB21" w14:textId="77777777" w:rsidTr="003F6901">
        <w:trPr>
          <w:jc w:val="center"/>
        </w:trPr>
        <w:tc>
          <w:tcPr>
            <w:tcW w:w="9748" w:type="dxa"/>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3A0FA4" w14:textId="77777777" w:rsidR="00254ED5" w:rsidRPr="00F37A19" w:rsidRDefault="00254ED5" w:rsidP="003F6901">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rPr>
            </w:pPr>
            <w:r w:rsidRPr="00F37A19">
              <w:rPr>
                <w:rFonts w:eastAsia="Helvetica"/>
                <w:color w:val="000000"/>
              </w:rPr>
              <w:t>*** p &lt; 0.001  |  ** p &lt; 0.01  |  * p &lt; 0.05  |  . p &lt; 0.10</w:t>
            </w:r>
          </w:p>
        </w:tc>
      </w:tr>
    </w:tbl>
    <w:p w14:paraId="4B27480D" w14:textId="77777777" w:rsidR="00254ED5" w:rsidRDefault="00254ED5" w:rsidP="00254ED5">
      <w:pPr>
        <w:pStyle w:val="NormalWeb"/>
      </w:pPr>
      <w:r>
        <w:t>El Modelo 4 amplía la especificación ya que incluye variables adicionales como Flights_to_Nashville, Google_Trends_Opry, dummies de eventos (thanksgiving, week_before_christmas, two_weeks_before_christmas) y la variable creada denominada temporada_alta.</w:t>
      </w:r>
    </w:p>
    <w:p w14:paraId="3D03E653" w14:textId="77777777" w:rsidR="00254ED5" w:rsidRDefault="00254ED5" w:rsidP="00254ED5">
      <w:pPr>
        <w:pStyle w:val="NormalWeb"/>
      </w:pPr>
      <w:r>
        <w:t>El coeficiente de Gasto_Publicidad mantiene un efecto positivo y estadísticamente significativo (p = 0.0435), lo que confirma que la inversión en publicidad sigue siendo un muy relevante para las ventas. Por su parte, la variable Holliday_seasson continúa siendo altamente significativa (p &lt; 0.001), mostrando que la temporada baja tiene un impacto negativo importante sobre las ventas.</w:t>
      </w:r>
    </w:p>
    <w:p w14:paraId="59A7E28E" w14:textId="77777777" w:rsidR="00254ED5" w:rsidRDefault="00254ED5" w:rsidP="00254ED5">
      <w:pPr>
        <w:pStyle w:val="NormalWeb"/>
      </w:pPr>
      <w:r>
        <w:t>Sin embargo, la mayoría de las variables adicionales incluidas en el modelo no resultan estadísticamente significativas, entre ellas Flights_to_Nashville, Google_Trends_Opry, las dummies de eventos específicos y la variable temporada_alta (p = 0.1736). Esto indica que, una vez se controla por la publicidad y la estacionalidad, estas variables no aportan evidencia suficiente para explicar variaciones adicionales en las ventas.</w:t>
      </w:r>
    </w:p>
    <w:p w14:paraId="18AB4AB7" w14:textId="77777777" w:rsidR="00254ED5" w:rsidRDefault="00254ED5" w:rsidP="00254ED5">
      <w:pPr>
        <w:pStyle w:val="NormalWeb"/>
      </w:pPr>
      <w:r>
        <w:t>El R² del modelo aumenta a aproximadamente 0.416, lo que representa una mejora marginal frente al modelo anterior (0.395). Esto indica que la inclusión de variables adicionales no genera un incremento sustancial en la capacidad explicativa del modelo.</w:t>
      </w:r>
    </w:p>
    <w:p w14:paraId="7E5DFBE2" w14:textId="77777777" w:rsidR="00254ED5" w:rsidRDefault="00254ED5" w:rsidP="00254ED5">
      <w:pPr>
        <w:pStyle w:val="NormalWeb"/>
      </w:pPr>
      <w:r>
        <w:t>En consecuencia, el Modelo 4 podría tener un sobreajuste al incluir variables que no contribuyen significativamente.</w:t>
      </w:r>
    </w:p>
    <w:p w14:paraId="76951026" w14:textId="77777777" w:rsidR="00254ED5" w:rsidRDefault="00254ED5" w:rsidP="00254ED5">
      <w:pPr>
        <w:pStyle w:val="NormalWeb"/>
        <w:rPr>
          <w:b/>
          <w:bCs/>
        </w:rPr>
      </w:pPr>
      <w:r w:rsidRPr="00F37A19">
        <w:rPr>
          <w:b/>
          <w:bCs/>
        </w:rPr>
        <w:t>Punto 7</w:t>
      </w:r>
    </w:p>
    <w:p w14:paraId="4F99762B" w14:textId="77777777" w:rsidR="00254ED5" w:rsidRDefault="00254ED5" w:rsidP="00254ED5">
      <w:pPr>
        <w:pStyle w:val="NormalWeb"/>
      </w:pPr>
      <w:r>
        <w:t>El modelo tiene varias limitaciones que se deben considerar al realizar la interpretación los resultados. En primer lugar, el tamaño de la muestra es relativamente reducido, lo que puede limitar la precisión de las estimaciones y la capacidad para detectar efectos estadísticamente significativos en algunas variables.</w:t>
      </w:r>
    </w:p>
    <w:p w14:paraId="4D572CE8" w14:textId="77777777" w:rsidR="00254ED5" w:rsidRDefault="00254ED5" w:rsidP="00254ED5">
      <w:pPr>
        <w:pStyle w:val="NormalWeb"/>
      </w:pPr>
      <w:r>
        <w:t xml:space="preserve">También, existe la posibilidad de multicolinealidad entre variables independientes, especialmente entre aquellas que capturan el interés turístico hacia Nashville, como </w:t>
      </w:r>
      <w:r>
        <w:lastRenderedPageBreak/>
        <w:t>Flights_to_Nashville y Google_Trends_Opry. Esto puede inflar los errores estándar y dificultar la identificación del efecto individual de cada variable.</w:t>
      </w:r>
    </w:p>
    <w:p w14:paraId="24629F98" w14:textId="77777777" w:rsidR="00254ED5" w:rsidRDefault="00254ED5" w:rsidP="00254ED5">
      <w:pPr>
        <w:pStyle w:val="NormalWeb"/>
      </w:pPr>
      <w:r>
        <w:t>Adicionalmente, el modelo asume una relación lineal en logaritmos entre las variables independientes y las ventas, lo cual puede no capturar posibles efectos no lineales, como rendimientos decrecientes del gasto en publicidad.</w:t>
      </w:r>
    </w:p>
    <w:p w14:paraId="76913F7D" w14:textId="77777777" w:rsidR="00254ED5" w:rsidRDefault="00254ED5" w:rsidP="00254ED5">
      <w:pPr>
        <w:pStyle w:val="NormalWeb"/>
      </w:pPr>
      <w:r>
        <w:t>Además, es importante considerar la posible existencia de variables omitidas, como condiciones climáticas, eventos especiales en la ciudad o factores competitivos, que podrían influir en las ventas y no están incluidos en el modelo.</w:t>
      </w:r>
    </w:p>
    <w:p w14:paraId="3D3DA43C" w14:textId="77777777" w:rsidR="00254ED5" w:rsidRDefault="00254ED5" w:rsidP="00254ED5">
      <w:pPr>
        <w:pStyle w:val="NormalWeb"/>
      </w:pPr>
      <w:r>
        <w:t>Por otro lado, los resultados evidencian que las variables más relevantes para explicar las ventas son el gasto en publicidad y la estacionalidad, mientras que otras variables incluidas en el modelo no aportan significativamente a la explicación. Esto sugiere que un modelo más simple y parsimonioso podría ser más adecuado.</w:t>
      </w:r>
    </w:p>
    <w:p w14:paraId="00D25529" w14:textId="77777777" w:rsidR="00254ED5" w:rsidRDefault="00254ED5" w:rsidP="00254ED5">
      <w:pPr>
        <w:pStyle w:val="NormalWeb"/>
      </w:pPr>
      <w:r>
        <w:t>Desde una perspectiva de negocio, los resultados indican que la estrategia debería centrarse principalmente en la optimización del gasto publicitario y en la gestión de los efectos estacionales, en lugar de depender de variables externas como tendencias de búsqueda o flujo de vuelos.</w:t>
      </w:r>
    </w:p>
    <w:p w14:paraId="2019C4B0" w14:textId="77777777" w:rsidR="00254ED5" w:rsidRDefault="00254ED5" w:rsidP="00254ED5">
      <w:pPr>
        <w:pStyle w:val="NormalWeb"/>
      </w:pPr>
      <w:r>
        <w:t>Finalmente, es importante resaltar que los resultados obtenidos representan relaciones de asociación y no necesariamente relaciones causales, por lo que deben interpretarse con cautela al momento de tomar decisiones estratégicas.</w:t>
      </w:r>
    </w:p>
    <w:p w14:paraId="17BAFB1D" w14:textId="77777777" w:rsidR="00254ED5" w:rsidRDefault="00254ED5" w:rsidP="00FA14B3">
      <w:pPr>
        <w:spacing w:before="100" w:beforeAutospacing="1" w:after="100" w:afterAutospacing="1"/>
        <w:ind w:left="720"/>
        <w:jc w:val="both"/>
      </w:pPr>
    </w:p>
    <w:p w14:paraId="1D87123D" w14:textId="269EE6C6" w:rsidR="00FA14B3" w:rsidRPr="00CF51D9" w:rsidRDefault="00FA14B3" w:rsidP="00FA14B3">
      <w:pPr>
        <w:jc w:val="both"/>
      </w:pPr>
    </w:p>
    <w:sectPr w:rsidR="00FA14B3" w:rsidRPr="00CF51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73CC9"/>
    <w:multiLevelType w:val="multilevel"/>
    <w:tmpl w:val="A8FE9A4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B37820"/>
    <w:multiLevelType w:val="hybridMultilevel"/>
    <w:tmpl w:val="94F89D22"/>
    <w:lvl w:ilvl="0" w:tplc="9512786E">
      <w:start w:val="1"/>
      <w:numFmt w:val="decimal"/>
      <w:lvlText w:val="%1."/>
      <w:lvlJc w:val="left"/>
      <w:pPr>
        <w:ind w:left="720" w:hanging="360"/>
      </w:pPr>
      <w:rPr>
        <w:rFonts w:hint="default"/>
        <w:i w:val="0"/>
        <w:iCs/>
        <w:sz w:val="2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EC80E0A"/>
    <w:multiLevelType w:val="hybridMultilevel"/>
    <w:tmpl w:val="29B6B696"/>
    <w:lvl w:ilvl="0" w:tplc="9B3E1E06">
      <w:start w:val="1"/>
      <w:numFmt w:val="decimal"/>
      <w:lvlText w:val="%1."/>
      <w:lvlJc w:val="left"/>
      <w:pPr>
        <w:ind w:left="720" w:hanging="360"/>
      </w:pPr>
      <w:rPr>
        <w:rFonts w:hint="default"/>
        <w:b w:val="0"/>
        <w:sz w:val="2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57B334DB"/>
    <w:multiLevelType w:val="multilevel"/>
    <w:tmpl w:val="F0F2FD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7C1C6B"/>
    <w:multiLevelType w:val="multilevel"/>
    <w:tmpl w:val="F36C0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1B50BE8"/>
    <w:multiLevelType w:val="multilevel"/>
    <w:tmpl w:val="E73C9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933546">
    <w:abstractNumId w:val="0"/>
  </w:num>
  <w:num w:numId="2" w16cid:durableId="1946645830">
    <w:abstractNumId w:val="2"/>
  </w:num>
  <w:num w:numId="3" w16cid:durableId="866525538">
    <w:abstractNumId w:val="4"/>
  </w:num>
  <w:num w:numId="4" w16cid:durableId="259794986">
    <w:abstractNumId w:val="3"/>
  </w:num>
  <w:num w:numId="5" w16cid:durableId="1417555782">
    <w:abstractNumId w:val="1"/>
  </w:num>
  <w:num w:numId="6" w16cid:durableId="19615665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3C8"/>
    <w:rsid w:val="00154732"/>
    <w:rsid w:val="00254ED5"/>
    <w:rsid w:val="0032517B"/>
    <w:rsid w:val="004439C9"/>
    <w:rsid w:val="009D2430"/>
    <w:rsid w:val="00B91E16"/>
    <w:rsid w:val="00BE53C8"/>
    <w:rsid w:val="00CF51D9"/>
    <w:rsid w:val="00DD38D4"/>
    <w:rsid w:val="00EA4011"/>
    <w:rsid w:val="00FA14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523C72F"/>
  <w15:chartTrackingRefBased/>
  <w15:docId w15:val="{259244B0-168E-7D40-8EF5-39AC09034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1D9"/>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BE53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53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53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53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53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53C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53C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53C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53C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53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E53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E53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E53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53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53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53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53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53C8"/>
    <w:rPr>
      <w:rFonts w:eastAsiaTheme="majorEastAsia" w:cstheme="majorBidi"/>
      <w:color w:val="272727" w:themeColor="text1" w:themeTint="D8"/>
    </w:rPr>
  </w:style>
  <w:style w:type="paragraph" w:styleId="Ttulo">
    <w:name w:val="Title"/>
    <w:basedOn w:val="Normal"/>
    <w:next w:val="Normal"/>
    <w:link w:val="TtuloCar"/>
    <w:uiPriority w:val="10"/>
    <w:qFormat/>
    <w:rsid w:val="00BE53C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53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53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53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53C8"/>
    <w:pPr>
      <w:spacing w:before="160"/>
      <w:jc w:val="center"/>
    </w:pPr>
    <w:rPr>
      <w:i/>
      <w:iCs/>
      <w:color w:val="404040" w:themeColor="text1" w:themeTint="BF"/>
    </w:rPr>
  </w:style>
  <w:style w:type="character" w:customStyle="1" w:styleId="CitaCar">
    <w:name w:val="Cita Car"/>
    <w:basedOn w:val="Fuentedeprrafopredeter"/>
    <w:link w:val="Cita"/>
    <w:uiPriority w:val="29"/>
    <w:rsid w:val="00BE53C8"/>
    <w:rPr>
      <w:i/>
      <w:iCs/>
      <w:color w:val="404040" w:themeColor="text1" w:themeTint="BF"/>
    </w:rPr>
  </w:style>
  <w:style w:type="paragraph" w:styleId="Prrafodelista">
    <w:name w:val="List Paragraph"/>
    <w:basedOn w:val="Normal"/>
    <w:uiPriority w:val="34"/>
    <w:qFormat/>
    <w:rsid w:val="00BE53C8"/>
    <w:pPr>
      <w:ind w:left="720"/>
      <w:contextualSpacing/>
    </w:pPr>
  </w:style>
  <w:style w:type="character" w:styleId="nfasisintenso">
    <w:name w:val="Intense Emphasis"/>
    <w:basedOn w:val="Fuentedeprrafopredeter"/>
    <w:uiPriority w:val="21"/>
    <w:qFormat/>
    <w:rsid w:val="00BE53C8"/>
    <w:rPr>
      <w:i/>
      <w:iCs/>
      <w:color w:val="0F4761" w:themeColor="accent1" w:themeShade="BF"/>
    </w:rPr>
  </w:style>
  <w:style w:type="paragraph" w:styleId="Citadestacada">
    <w:name w:val="Intense Quote"/>
    <w:basedOn w:val="Normal"/>
    <w:next w:val="Normal"/>
    <w:link w:val="CitadestacadaCar"/>
    <w:uiPriority w:val="30"/>
    <w:qFormat/>
    <w:rsid w:val="00BE53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53C8"/>
    <w:rPr>
      <w:i/>
      <w:iCs/>
      <w:color w:val="0F4761" w:themeColor="accent1" w:themeShade="BF"/>
    </w:rPr>
  </w:style>
  <w:style w:type="character" w:styleId="Referenciaintensa">
    <w:name w:val="Intense Reference"/>
    <w:basedOn w:val="Fuentedeprrafopredeter"/>
    <w:uiPriority w:val="32"/>
    <w:qFormat/>
    <w:rsid w:val="00BE53C8"/>
    <w:rPr>
      <w:b/>
      <w:bCs/>
      <w:smallCaps/>
      <w:color w:val="0F4761" w:themeColor="accent1" w:themeShade="BF"/>
      <w:spacing w:val="5"/>
    </w:rPr>
  </w:style>
  <w:style w:type="paragraph" w:customStyle="1" w:styleId="paragraph">
    <w:name w:val="paragraph"/>
    <w:basedOn w:val="Normal"/>
    <w:rsid w:val="00BE53C8"/>
    <w:pPr>
      <w:spacing w:before="100" w:beforeAutospacing="1" w:after="100" w:afterAutospacing="1"/>
    </w:pPr>
  </w:style>
  <w:style w:type="character" w:customStyle="1" w:styleId="normaltextrun">
    <w:name w:val="normaltextrun"/>
    <w:basedOn w:val="Fuentedeprrafopredeter"/>
    <w:rsid w:val="00BE53C8"/>
  </w:style>
  <w:style w:type="character" w:customStyle="1" w:styleId="eop">
    <w:name w:val="eop"/>
    <w:basedOn w:val="Fuentedeprrafopredeter"/>
    <w:rsid w:val="00BE53C8"/>
  </w:style>
  <w:style w:type="character" w:customStyle="1" w:styleId="wacimagecontainer">
    <w:name w:val="wacimagecontainer"/>
    <w:basedOn w:val="Fuentedeprrafopredeter"/>
    <w:rsid w:val="00BE53C8"/>
  </w:style>
  <w:style w:type="character" w:styleId="nfasis">
    <w:name w:val="Emphasis"/>
    <w:basedOn w:val="Fuentedeprrafopredeter"/>
    <w:uiPriority w:val="20"/>
    <w:qFormat/>
    <w:rsid w:val="00CF51D9"/>
    <w:rPr>
      <w:i/>
      <w:iCs/>
    </w:rPr>
  </w:style>
  <w:style w:type="character" w:styleId="Textoennegrita">
    <w:name w:val="Strong"/>
    <w:basedOn w:val="Fuentedeprrafopredeter"/>
    <w:uiPriority w:val="22"/>
    <w:qFormat/>
    <w:rsid w:val="00CF51D9"/>
    <w:rPr>
      <w:b/>
      <w:bCs/>
    </w:rPr>
  </w:style>
  <w:style w:type="paragraph" w:styleId="NormalWeb">
    <w:name w:val="Normal (Web)"/>
    <w:basedOn w:val="Normal"/>
    <w:uiPriority w:val="99"/>
    <w:semiHidden/>
    <w:unhideWhenUsed/>
    <w:rsid w:val="00FA14B3"/>
    <w:pPr>
      <w:spacing w:before="100" w:beforeAutospacing="1" w:after="100" w:afterAutospacing="1"/>
    </w:pPr>
  </w:style>
  <w:style w:type="paragraph" w:customStyle="1" w:styleId="TableCaption">
    <w:name w:val="Table Caption"/>
    <w:basedOn w:val="Normal"/>
    <w:qFormat/>
    <w:rsid w:val="00254ED5"/>
    <w:pPr>
      <w:jc w:val="center"/>
    </w:pPr>
    <w:rPr>
      <w:rFonts w:asciiTheme="minorHAnsi" w:eastAsiaTheme="minorEastAsia" w:hAnsiTheme="minorHAnsi" w:cstheme="minorBidi"/>
      <w:b/>
      <w: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Pages>
  <Words>1199</Words>
  <Characters>6600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Mariana Andrea Hernandez Pinto</cp:lastModifiedBy>
  <cp:revision>6</cp:revision>
  <dcterms:created xsi:type="dcterms:W3CDTF">2026-04-10T13:46:00Z</dcterms:created>
  <dcterms:modified xsi:type="dcterms:W3CDTF">2026-04-12T23:17:00Z</dcterms:modified>
</cp:coreProperties>
</file>