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 0005 – Visualizar Mensajes Publicados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Elaboró:Giacconi Mariana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Carla S. Centeleghe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Carla S. Centeleghe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 0005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Mensajes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Mensajes Públicos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Giacconi Mariana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Carla S. Centeleghe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al usuario ver un tablón de anuncios donde ver los mensajes publicados de los usuarios.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tiene una cuenta válida en la plataforma.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ha iniciado sesión en la plataforma.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accede a la sección del tablón de anuncios.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una lista de mensajes publicados por los usuarios.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puede hacer clic en un mensaje para ver el contenido completo.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el contenido completo del mensaje.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en la parte inferior del mensaje publicado, tres botones. Los cuales son: “comentarios” y  “like”. 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toca el botón “comentar”, se despliega una ventanilla para escribir y luego es publicada (debajo del mensaje original).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toca el botón “like”, se le sumará un punto positivo (like) al mensaje y también se almacenará en la cuenta del usuario en la parte de “cosas que le gustan”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los cambios realizados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8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Fallo al mostrar mensajes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no hay ningún mensaje público, publicado por algún usuario.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el mensaje “no hay mensajes”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numPr>
                <w:ilvl w:val="2"/>
                <w:numId w:val="1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Fallo al mostrar mensajes propios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numPr>
                <w:ilvl w:val="2"/>
                <w:numId w:val="1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no tiene ningún mensaje publicado.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el mensaje “no hay mensajes publicados”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8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Requerimientos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1395"/>
        <w:gridCol w:w="6019"/>
        <w:tblGridChange w:id="0">
          <w:tblGrid>
            <w:gridCol w:w="1459"/>
            <w:gridCol w:w="1395"/>
            <w:gridCol w:w="6019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max. palabras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Máxima cantidad de caracteres : 2 000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BF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6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5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D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D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CU 000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9">
          <w:pPr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Visualizar Mensajes Públicos</w:t>
          </w:r>
        </w:p>
      </w:tc>
    </w:tr>
  </w:tbl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sBjID2FXpLU8Wq6lOwOkcrRlaQ==">CgMxLjA4AHIhMUxUblJOS3c0dVRvaVcwYjNyOFNudWExSWtfa3lfQ1Za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