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2E7D32"/>
          <w:sz w:val="64"/>
          <w:szCs w:val="64"/>
        </w:rPr>
        <w:t xml:space="preserve">ECOIMPACT</w:t>
      </w:r>
    </w:p>
    <w:p>
      <w:pPr>
        <w:spacing w:after="400"/>
        <w:jc w:val="center"/>
      </w:pPr>
      <w:r>
        <w:rPr>
          <w:color w:val="1B1B1B"/>
          <w:sz w:val="32"/>
          <w:szCs w:val="32"/>
        </w:rPr>
        <w:t xml:space="preserve">Governança e Compliance Ambiental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Migração de Solução ESG de Banco Relacional (Oracle / PL-SQL)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para Banco NoSQL Orientado a Documentos (MongoDB)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Documentação Técnica de Modelagem, Migração e Operações CRUD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Escolha da abordagem: migração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Contexto do projeto original (modelo relacional)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Justificativa: por que NoSQL resolve melhor desafios ESG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Mapeamento das tabelas para collections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As 5 collections do novo modelo e seu papel no ESG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Comandos de criação das collections e índices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Operações de CRUD executadas (com evidências/prints)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Modelagem flexível (schema dinâmico) demonstrada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Nota técnica sobre o ambiente de execução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Conclusão e aderência aos critérios de avaliação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Escolha da Abordagem: Migração</w:t>
      </w:r>
    </w:p>
    <w:p>
      <w:pPr>
        <w:spacing w:after="160" w:line="300"/>
      </w:pPr>
      <w:r>
        <w:t xml:space="preserve">Optou-se pela MIGRAÇÃO do projeto ESG "EcoImpact", originalmente desenvolvido em Oracle/PL-SQL, para o MongoDB. A decisão foi tomada porque o projeto relacional já possuía um domínio de negócio maduro e bem definido — cinco entidades, quatro triggers de automação e um conjunto de regras de cálculo de pegada de carbono — o que permite comparar, lado a lado, como o mesmo problema de negócio é resolvido em dois paradigmas de dados distintos. Migrar (em vez de inventar um domínio novo) evidencia com mais clareza os ganhos e as perdas reais de se trocar um modelo relacional rígido por um modelo de documentos flexível.</w:t>
      </w:r>
    </w:p>
    <w:p>
      <w:pPr>
        <w:pStyle w:val="Heading1"/>
        <w:spacing w:after="160" w:before="320"/>
      </w:pPr>
      <w:r>
        <w:t xml:space="preserve">2. Contexto do Projeto Original (Modelo Relacional)</w:t>
      </w:r>
    </w:p>
    <w:p>
      <w:pPr>
        <w:spacing w:after="160" w:line="300"/>
      </w:pPr>
      <w:r>
        <w:t xml:space="preserve">O sistema EcoImpact tem como tema o monitoramento de emissão de carbono de usuários (pessoas físicas ou colaboradores de uma organização). O modelo relacional era composto por 5 tabelas: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4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CATEGORIA_EMISSAO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sz w:val="20"/>
                <w:szCs w:val="20"/>
              </w:rPr>
              <w:t xml:space="preserve">Cadastro de tipos de atividade e seus fatores de emissão de CO2 equivalente (ex.: transporte, alimentação, energia).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REGISTRO_EMISSAO</w:t>
            </w:r>
          </w:p>
        </w:tc>
        <w:tc>
          <w:tcPr>
            <w:tcW w:type="dxa" w:w="6740"/>
            <w:shd w:fill="F7F7F7" w:val="clear"/>
          </w:tcPr>
          <w:p>
            <w:r>
              <w:rPr>
                <w:sz w:val="20"/>
                <w:szCs w:val="20"/>
              </w:rPr>
              <w:t xml:space="preserve">Lançamentos diários de atividades do usuário, com cálculo do kg de CO2e emitido.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META_SUSTENTABILIDADE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sz w:val="20"/>
                <w:szCs w:val="20"/>
              </w:rPr>
              <w:t xml:space="preserve">Meta mensal de redução por usuário e totais acumulados de emissão/compensação.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ALERTA_EMISSAO</w:t>
            </w:r>
          </w:p>
        </w:tc>
        <w:tc>
          <w:tcPr>
            <w:tcW w:type="dxa" w:w="6740"/>
            <w:shd w:fill="F7F7F7" w:val="clear"/>
          </w:tcPr>
          <w:p>
            <w:r>
              <w:rPr>
                <w:sz w:val="20"/>
                <w:szCs w:val="20"/>
              </w:rPr>
              <w:t xml:space="preserve">Alertas automáticos disparados quando a meta mensal é ultrapassada.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COMPENSACAO_CARBONO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sz w:val="20"/>
                <w:szCs w:val="20"/>
              </w:rPr>
              <w:t xml:space="preserve">Ações voluntárias de compensação (plantio de árvores, créditos de carbono, energia solar etc.).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O modelo original contava, ainda, com 4 triggers PL/SQL responsáveis por manter os dados sincronizados automaticamente: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TRG_ATUALIZA_META_EMISSAO — recalcula o total emitido no mês sempre que um registro de emissão é inserido, alterado ou removido.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TRG_ALERTA_EMISSAO — insere um alerta quando a emissão projetada ultrapassa a meta do usuário.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TRG_ATUALIZA_COMPENSACAO — recalcula o total compensado e o saldo líquido de carbono a cada ação de compensação.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TRG_CLASSIFICA_NIVEL_IMPACTO — classifica cada registro em BAIXO/MÉDIO/ALTO conforme o kg de CO2e.</w:t>
      </w:r>
    </w:p>
    <w:p>
      <w:pPr>
        <w:pStyle w:val="Heading1"/>
        <w:spacing w:after="160" w:before="320"/>
      </w:pPr>
      <w:r>
        <w:t xml:space="preserve">3. Justificativa: Por que NoSQL Contribui para Desafios ESG</w:t>
      </w:r>
    </w:p>
    <w:p>
      <w:pPr>
        <w:spacing w:after="160" w:line="300"/>
      </w:pPr>
      <w:r>
        <w:t xml:space="preserve">Soluções ESG lidam, por natureza, com dados heterogêneos: cada empresa mede indicadores ambientais diferentes, cada usuário registra tipos distintos de compensação, e novas métricas de governança e social surgem com frequência à medida que a regulação evolui (CSRD, GRI, TCFD, ISSB, etc.). Essa realidade expõe três limitações do modelo relacional original: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Rigidez de schema: qualquer novo tipo de dado (ex.: um comprovante de certificação, uma geolocalização do registro, uma meta de incentivo específica de uma categoria) exigiria uma migração de schema (ALTER TABLE) em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Muitos "joins" para uma operação de leitura simples: exibir um registro de emissão com o nome e a unidade de medida da categoria exige juntar REGISTRO_EMISSAO e CATEGORIA_EMISSAO; exibir os alertas de uma meta exige juntar META_SUSTENTABILIDADE e ALERTA_EMISSAO.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Lógica de negócio presa ao banco: as triggers concentram regras de cálculo (nível de impacto, saldo de carbono) dentro do SGBD, dificultando testes automatizados e portabilidade da regra para outros contextos (ex.: um app mobile offline-first).</w:t>
      </w:r>
    </w:p>
    <w:p>
      <w:pPr>
        <w:spacing w:after="160" w:line="300"/>
      </w:pPr>
      <w:r>
        <w:t xml:space="preserve">O modelo de documentos do MongoDB endereça essas limitações da seguinte forma: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Schema flexível: cada documento pode ter campos próprios sem exigir migração — essencial para acomodar a evolução constante de métricas ESG (ver Seção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Dados embutidos (embedding): a categoria é embutida dentro do registro de emissão, e os alertas são embutidos dentro da meta — eliminando "joins" para as consultas mais comuns do domínio (ler um registro, ler uma meta com seus alertas).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Escalabilidade horizontal: coleções de registros de emissão tendem a crescer rapidamente (um lançamento por atividade, por usuário, por dia) — um padrão de crescimento que o MongoDB, com sharding nativo, atende melhor do que uma tabela relacional monolítica.</w:t>
      </w:r>
    </w:p>
    <w:p>
      <w:pPr>
        <w:spacing w:after="160" w:line="300"/>
      </w:pPr>
      <w:r>
        <w:t xml:space="preserve">Como contrapartida, o documento também registra honestamente o que se perde: integridade referencial (FKs) e atomicidade multi-tabela deixam de ser garantidas pelo banco, e a responsabilidade das antigas triggers passa a ser da camada de aplicação — trade-off comum e aceito em arquiteturas NoSQL, mas que precisa de disciplina de código para não introduzir inconsistências (isso é discutido na Seção 7, no comando 4.2).</w:t>
      </w:r>
    </w:p>
    <w:p>
      <w:pPr>
        <w:pStyle w:val="Heading1"/>
        <w:spacing w:after="160" w:before="320"/>
      </w:pPr>
      <w:r>
        <w:t xml:space="preserve">4. Mapeamento das Tabelas para Collections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0"/>
      </w:tblGrid>
      <w:tr>
        <w:trPr>
          <w:tblHeader/>
        </w:trPr>
        <w:tc>
          <w:tcPr>
            <w:tcW w:type="dxa" w:w="26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 relacional (Oracle)</w:t>
            </w:r>
          </w:p>
        </w:tc>
        <w:tc>
          <w:tcPr>
            <w:tcW w:type="dxa" w:w="24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 MongoDB</w:t>
            </w:r>
          </w:p>
        </w:tc>
        <w:tc>
          <w:tcPr>
            <w:tcW w:type="dxa" w:w="474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mudou na migração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CATEGORIA_EMISSAO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categorias_emissao</w:t>
            </w:r>
          </w:p>
        </w:tc>
        <w:tc>
          <w:tcPr>
            <w:tcW w:type="dxa" w:w="4740"/>
            <w:shd w:fill="FFFFFF" w:val="clear"/>
          </w:tcPr>
          <w:p>
            <w:r>
              <w:rPr>
                <w:sz w:val="20"/>
                <w:szCs w:val="20"/>
              </w:rPr>
              <w:t xml:space="preserve">Ganhou o campo escopo_ghg (Escopo 1/2/3, GHG Protocol) e, em um documento, um subdocumento de incentivo — sem alterar as demais categorias.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REGISTRO_EMISSAO</w:t>
            </w:r>
          </w:p>
        </w:tc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registros_emissao</w:t>
            </w:r>
          </w:p>
        </w:tc>
        <w:tc>
          <w:tcPr>
            <w:tcW w:type="dxa" w:w="4740"/>
            <w:shd w:fill="F7F7F7" w:val="clear"/>
          </w:tcPr>
          <w:p>
            <w:r>
              <w:rPr>
                <w:sz w:val="20"/>
                <w:szCs w:val="20"/>
              </w:rPr>
              <w:t xml:space="preserve">A categoria (nome, unidade, escopo) é embutida como subdocumento, eliminando o "join" com categorias_emissao para exibir o registro. Um documento ganhou geolocalização.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META_SUSTENTABILIDADE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metas_sustentabilidade</w:t>
            </w:r>
          </w:p>
        </w:tc>
        <w:tc>
          <w:tcPr>
            <w:tcW w:type="dxa" w:w="4740"/>
            <w:shd w:fill="FFFFFF" w:val="clear"/>
          </w:tcPr>
          <w:p>
            <w:r>
              <w:rPr>
                <w:sz w:val="20"/>
                <w:szCs w:val="20"/>
              </w:rPr>
              <w:t xml:space="preserve">Passou a embutir um array de alertas (antes uma tabela filha via FK), tornando a leitura "meta + seus alertas" uma única consulta.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ALERTA_EMISSAO</w:t>
            </w:r>
          </w:p>
        </w:tc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Absorvida por metas_sustentabilidade.alertas</w:t>
            </w:r>
          </w:p>
        </w:tc>
        <w:tc>
          <w:tcPr>
            <w:tcW w:type="dxa" w:w="4740"/>
            <w:shd w:fill="F7F7F7" w:val="clear"/>
          </w:tcPr>
          <w:p>
            <w:r>
              <w:rPr>
                <w:sz w:val="20"/>
                <w:szCs w:val="20"/>
              </w:rPr>
              <w:t xml:space="preserve">Deixou de ser uma collection própria: no relacional, existia só por causa do modelo tabular; no modelo de documentos, é um subdocumento natural da meta a que pertence.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COMPENSACAO_CARBONO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compensacoes_carbono</w:t>
            </w:r>
          </w:p>
        </w:tc>
        <w:tc>
          <w:tcPr>
            <w:tcW w:type="dxa" w:w="4740"/>
            <w:shd w:fill="FFFFFF" w:val="clear"/>
          </w:tcPr>
          <w:p>
            <w:r>
              <w:rPr>
                <w:sz w:val="20"/>
                <w:szCs w:val="20"/>
              </w:rPr>
              <w:t xml:space="preserve">Mantida como collection própria (relação de N:1 com o usuário/mês, mas com volume e ciclo de vida próprios); um documento ganhou um subdocumento de comprovante.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(inexistente)</w:t>
            </w:r>
          </w:p>
        </w:tc>
        <w:tc>
          <w:tcPr>
            <w:tcW w:type="dxa" w:w="2400"/>
            <w:shd w:fill="F7F7F7" w:val="clear"/>
          </w:tcPr>
          <w:p>
            <w:r>
              <w:rPr>
                <w:sz w:val="20"/>
                <w:szCs w:val="20"/>
              </w:rPr>
              <w:t xml:space="preserve">usuarios_esg</w:t>
            </w:r>
          </w:p>
        </w:tc>
        <w:tc>
          <w:tcPr>
            <w:tcW w:type="dxa" w:w="4740"/>
            <w:shd w:fill="F7F7F7" w:val="clear"/>
          </w:tcPr>
          <w:p>
            <w:r>
              <w:rPr>
                <w:sz w:val="20"/>
                <w:szCs w:val="20"/>
              </w:rPr>
              <w:t xml:space="preserve">Nova collection: no relacional, ID_USUARIO era apenas uma FK para uma tabela de usuários externa/não modelada. Na migração, ela foi explicitada para dar contexto social/governança (cargo, departamento, certificações).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O resultado são exatamente 5 collections, cobrindo o mesmo domínio de negócio das 5 tabelas originais, mas reorganizando onde cada informação "mora" para refletir como a aplicação realmente lê os dados.</w:t>
      </w:r>
    </w:p>
    <w:p>
      <w:pPr>
        <w:pStyle w:val="Heading1"/>
        <w:spacing w:after="160" w:before="320"/>
      </w:pPr>
      <w:r>
        <w:t xml:space="preserve">5. As 5 Collections do Novo Modelo e seu Papel no ESG</w:t>
      </w:r>
    </w:p>
    <w:p>
      <w:pPr>
        <w:pStyle w:val="Heading2"/>
        <w:spacing w:after="120" w:before="260"/>
      </w:pPr>
      <w:r>
        <w:t xml:space="preserve">5.1 usuarios_esg — Pilar Social e de Governança</w:t>
      </w:r>
    </w:p>
    <w:p>
      <w:pPr>
        <w:spacing w:after="160" w:line="300"/>
      </w:pPr>
      <w:r>
        <w:t xml:space="preserve">Representa as pessoas envolvidas no programa de sustentabilidade da organização: cargo, departamento e, quando aplicável, certificações profissionais relacionadas a ESG (ex.: GHG Protocol, ISO 14001 Lead Auditor). Do ponto de vista de governança, esta collection é a base para relatórios de quem são os responsáveis por metas e decisões de compensação, e do ponto de vista social, evidencia o engajamento de diferentes áreas da empresa (Sustentabilidade, Operações, Financeiro, Jurídico, RH) no programa.</w:t>
      </w:r>
    </w:p>
    <w:p>
      <w:pPr>
        <w:pStyle w:val="Heading2"/>
        <w:spacing w:after="120" w:before="260"/>
      </w:pPr>
      <w:r>
        <w:t xml:space="preserve">5.2 categorias_emissao — Pilar Ambiental (base de cálculo)</w:t>
      </w:r>
    </w:p>
    <w:p>
      <w:pPr>
        <w:spacing w:after="160" w:line="300"/>
      </w:pPr>
      <w:r>
        <w:t xml:space="preserve">É o catálogo de atividades que geram emissão de gases de efeito estufa, com seu fator de emissão (kg CO2e por unidade) e o escopo do GHG Protocol (Escopo 1, 2 ou 3). É a collection que dá rastreabilidade científica/metodológica aos números ambientais do sistema — sem ela, nenhum kg de CO2e poderia ser calculado de forma auditável.</w:t>
      </w:r>
    </w:p>
    <w:p>
      <w:pPr>
        <w:pStyle w:val="Heading2"/>
        <w:spacing w:after="120" w:before="260"/>
      </w:pPr>
      <w:r>
        <w:t xml:space="preserve">5.3 registros_emissao — Pilar Ambiental (medição)</w:t>
      </w:r>
    </w:p>
    <w:p>
      <w:pPr>
        <w:spacing w:after="160" w:line="300"/>
      </w:pPr>
      <w:r>
        <w:t xml:space="preserve">Cada documento é uma atividade registrada por um usuário (ex.: um trajeto de carro, um consumo de energia). Embute a categoria correspondente e é classificado automaticamente em nível de impacto (BAIXO/MÉDIO/ALTO), reproduzindo a função da antiga TRG_CLASSIFICA_NIVEL_IMPACTO agora na camada de aplicação. É a collection que mede, na prática, a pegada de carbono real da organização.</w:t>
      </w:r>
    </w:p>
    <w:p>
      <w:pPr>
        <w:pStyle w:val="Heading2"/>
        <w:spacing w:after="120" w:before="260"/>
      </w:pPr>
      <w:r>
        <w:t xml:space="preserve">5.4 metas_sustentabilidade — Pilar de Governança (controle e compliance)</w:t>
      </w:r>
    </w:p>
    <w:p>
      <w:pPr>
        <w:spacing w:after="160" w:line="300"/>
      </w:pPr>
      <w:r>
        <w:t xml:space="preserve">Uma meta mensal por usuário, com o total emitido, o total compensado, o saldo líquido de carbono e um array embutido de alertas de estouro de meta. É o coração de governança do sistema: formaliza compromissos de redução, torna o desempenho auditável mês a mês e documenta, através dos alertas, todo desvio relevante em relação ao compromisso assumido — sem depender de uma tabela externa de alertas.</w:t>
      </w:r>
    </w:p>
    <w:p>
      <w:pPr>
        <w:pStyle w:val="Heading2"/>
        <w:spacing w:after="120" w:before="260"/>
      </w:pPr>
      <w:r>
        <w:t xml:space="preserve">5.5 compensacoes_carbono — Pilar Ambiental e Social</w:t>
      </w:r>
    </w:p>
    <w:p>
      <w:pPr>
        <w:spacing w:after="160" w:line="300"/>
      </w:pPr>
      <w:r>
        <w:t xml:space="preserve">Registra as ações voluntárias de compensação (plantio de árvores, créditos de carbono certificados, energia solar, compostagem, doações a ONGs ambientais). Tem caráter ambiental (reduz o saldo líquido de carbono) e social (muitas ações envolvem apoio a projetos comunitários e de reflorestamento), além de trazer, quando disponível, a fonte de certificação — um dado relevante de governança/compliance para auditorias externas de ESG.</w:t>
      </w:r>
    </w:p>
    <w:p>
      <w:pPr>
        <w:pStyle w:val="Heading1"/>
        <w:spacing w:after="160" w:before="320"/>
      </w:pPr>
      <w:r>
        <w:t xml:space="preserve">6. Comandos de Criação das Collections e Índices</w:t>
      </w:r>
    </w:p>
    <w:p>
      <w:pPr>
        <w:spacing w:after="160" w:line="300"/>
      </w:pPr>
      <w:r>
        <w:t xml:space="preserve">Os comandos abaixo foram executados via driver oficial do MongoDB (Node.js), reproduzindo exatamente os equivalentes de mongosh: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db.createCollection("categorias_emissao");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db.createCollection("registros_emissao");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db.createCollection("metas_sustentabilidade");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db.createCollection("compensacoes_carbono");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db.createCollection("usuarios_esg");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Índice único equivalente à constraint UK_META_USUARIO_MES do modelo relacional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db.metas_sustentabilidade.createIndex(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ano_mes: 1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unique: true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1 — Criação real das 5 collections e do índice único, com listagem de collections do banco.</w:t>
      </w:r>
    </w:p>
    <w:p>
      <w:pPr>
        <w:pStyle w:val="Heading1"/>
        <w:spacing w:after="160" w:before="320"/>
      </w:pPr>
      <w:r>
        <w:t xml:space="preserve">7. Operações de CRUD Executadas</w:t>
      </w:r>
    </w:p>
    <w:p>
      <w:pPr>
        <w:spacing w:after="160" w:line="300"/>
      </w:pPr>
      <w:r>
        <w:t xml:space="preserve">Todas as operações abaixo foram executadas de fato contra uma instância MongoDB (ver nota técnica na Seção 9), com no mínimo 10 documentos inseridos em cada uma das 5 collections antes de qualquer operação de leitura, atualização ou remoção.</w:t>
      </w:r>
    </w:p>
    <w:p>
      <w:pPr>
        <w:pStyle w:val="Heading2"/>
        <w:spacing w:after="120" w:before="260"/>
      </w:pPr>
      <w:r>
        <w:t xml:space="preserve">7.1 CREATE — Carga inicial (≥ 10 documentos por collection)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rPr>
          <w:tblHeader/>
        </w:trPr>
        <w:tc>
          <w:tcPr>
            <w:tcW w:type="dxa" w:w="487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87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Documentos inseridos</w:t>
            </w:r>
          </w:p>
        </w:tc>
      </w:tr>
      <w:tr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usuarios_esg</w:t>
            </w:r>
          </w:p>
        </w:tc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870"/>
            <w:shd w:fill="F7F7F7" w:val="clear"/>
          </w:tcPr>
          <w:p>
            <w:r>
              <w:rPr>
                <w:sz w:val="20"/>
                <w:szCs w:val="20"/>
              </w:rPr>
              <w:t xml:space="preserve">categorias_emissao</w:t>
            </w:r>
          </w:p>
        </w:tc>
        <w:tc>
          <w:tcPr>
            <w:tcW w:type="dxa" w:w="4870"/>
            <w:shd w:fill="F7F7F7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registros_emissao</w:t>
            </w:r>
          </w:p>
        </w:tc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870"/>
            <w:shd w:fill="F7F7F7" w:val="clear"/>
          </w:tcPr>
          <w:p>
            <w:r>
              <w:rPr>
                <w:sz w:val="20"/>
                <w:szCs w:val="20"/>
              </w:rPr>
              <w:t xml:space="preserve">metas_sustentabilidade</w:t>
            </w:r>
          </w:p>
        </w:tc>
        <w:tc>
          <w:tcPr>
            <w:tcW w:type="dxa" w:w="4870"/>
            <w:shd w:fill="F7F7F7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compensacoes_carbono</w:t>
            </w:r>
          </w:p>
        </w:tc>
        <w:tc>
          <w:tcPr>
            <w:tcW w:type="dxa" w:w="4870"/>
            <w:shd w:fill="FFFF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db.usuarios_esg.insertMany([ ... 11 documentos ... 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db.categorias_emissao.insertMany([ ... 11 documentos ... 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db.registros_emissao.insertMany([ ... 12 documentos ... 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db.metas_sustentabilidade.insertMany([ ... 11 documentos ... 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db.compensacoes_carbono.insertMany([ ... 11 documentos ... 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Pós-processamento equivalente às triggers 2 e 3 do modelo original: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recalcula total_compensado_kg / saldo_carbono_kg (TRIGGER 3)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ano_mes: "2026-09"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 total_compensado_kg: 30, saldo_carbono_kg: 0.3, ultima_atualizacao: new Date()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gera alerta embutido quando total_emitido_mes &gt; meta_reducao_kg (TRIGGER 2)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6, ano_mes: "2026-09"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$push: { alertas: 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tipo_alerta: "LIMITE_EXCEDIDO",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mensagem: "Atenção! Emissão projetada (204 kg) ultrapassou a meta de 150 kg.",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kg_excedido: 54, percentual_meta: 136, gerado_em: new Date(), lido: false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}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</w:p>
    <w:p>
      <w:pPr>
        <w:pStyle w:val="Heading2"/>
        <w:spacing w:after="120" w:before="260"/>
      </w:pPr>
      <w:r>
        <w:t xml:space="preserve">7.2 READ — Consultas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3.1 categorias ativas de Escopo 3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db.categorias_emissao.find(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ativo: true, escopo_ghg: "Escopo 3"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nome: 1, fator_emissao_kg: 1, _id: 0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3.2 registros classificados como ALTO impacto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db.registros_emissao.find(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nivel_impacto: "ALTO"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"categoria.nome": 1, kg_co2e: 1, nivel_impacto: 1, _id: 0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3.3 metas do mês atual com saldo de carbono positivo (emissão líquida)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db.metas_sustentabilidade.find(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ano_mes: "2026-09", saldo_carbono_kg: { $gt: 0 }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saldo_carbono_kg: 1, meta_reducao_kg: 1, _id: 0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3.4 metas com pelo menos 1 alerta gerado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db.metas_sustentabilidade.find({ "alertas.0": { $exists: true } });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3.5 compensações com fonte de certificação informada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db.compensacoes_carbono.find(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fonte_certificacao: { $ne: null }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tipo_acao: 1, fonte_certificacao: 1, _id: 0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3.6 total emitido por usuário (agregação)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db.registros_emissao.aggregate([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$group: { _id: "$id_usuario", total_kg_co2e: { $sum: "$kg_co2e"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qtd_registros: { $sum: 1 } }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$sort: { total_kg_co2e: -1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]);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3.7 usuários com campos extras (schema flexível)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db.usuarios_esg.find({ certificacoes: { $exists: true } });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2 — Resultado real das consultas 3.1 a 3.4.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3 — Resultado real das consultas 3.5 a 3.7 (inclui a agregação por usuário e o documento com campo extra "certificacoes").</w:t>
      </w:r>
    </w:p>
    <w:p>
      <w:pPr>
        <w:pStyle w:val="Heading2"/>
        <w:spacing w:after="120" w:before="260"/>
      </w:pPr>
      <w:r>
        <w:t xml:space="preserve">7.3 UPDATE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4.1 marcar alertas de uma meta como lidos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3, ano_mes: "2026-09"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 alertas: /* array com lido:true em cada item */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4.2 corrigir a quantidade de um registro e RECALCULAR kg_co2e/nivel_impacto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(no Oracle, isso era feito automaticamente pela TRG_CLASSIFICA_NIVEL_IMPACTO;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 no MongoDB, essa responsabilidade passa a ser da camada de aplicação)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db.registros_emissao.updateOne(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1, "categoria.id_categoria": 1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observacao: "Trajeto diário trabalho - gasolina (corrigido: 52 km)",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quantidade: 52,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kg_co2e: 10.92,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nivel_impacto: "MEDIO"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4.3 desativar em lote categorias de combustão fóssil mais intensa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db.categorias_emissao.updateMany(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escopo_ghg: "Escopo 1", fator_emissao_kg: { $gt: 0.25 }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 ativo: false, inativado_em: new Date()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4.4 revisar (aumentar) a meta de um usuário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9, ano_mes: "2026-09"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$inc: { meta_reducao_kg: 10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4.5 adicionar certificação a um usuário que ainda não tinha (schema flexível)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db.usuarios_esg.updateOne(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_id: 3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 certificacoes: ["B Corp Assessment"]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4 — Resultado real das 5 operações de UPDATE (matchedCount/modifiedCount de cada uma).</w:t>
      </w:r>
    </w:p>
    <w:p>
      <w:pPr>
        <w:spacing w:after="160" w:line="300"/>
      </w:pPr>
      <w:r>
        <w:t xml:space="preserve">Observação técnica relevante: no comando 4.2, ao corrigir a quantidade de um registro, foi necessário recalcular manualmente kg_co2e e nivel_impacto na própria instrução de update. No modelo Oracle original, isso acontecia de forma transparente através da TRG_CLASSIFICA_NIVEL_IMPACTO. Esse é o exemplo mais concreto do trade-off discutido na Seção 3: o MongoDB não substitui automaticamente a trigger — a regra de negócio precisa ser reimplementada de forma disciplinada na aplicação (ou em um Change Stream / função serverless que "escute" a collection).</w:t>
      </w:r>
    </w:p>
    <w:p>
      <w:pPr>
        <w:pStyle w:val="Heading2"/>
        <w:spacing w:after="120" w:before="260"/>
      </w:pPr>
      <w:r>
        <w:t xml:space="preserve">7.4 DELETE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5.1 remover uma compensação lançada em duplicidade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db.compensacoes_carbono.deleteOne({ id_usuario: 3, ano_mes: "2026-08" });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5.2 remover uma categoria descontinuada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db.categorias_emissao.deleteOne({ _id: 11 });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5.3 remover um registro de emissão lançado por engano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db.registros_emissao.deleteOne({ id_usuario: 4 });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Recalculo manual da meta do usuário 4 apos o DELETE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(equivalente ao ramo DELETING da TRG_ATUALIZA_META_EMISSAO)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db.metas_sustentabilidade.updateOne(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id_usuario: 4, ano_mes: "2026-09" },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{ $set: { total_emitido_mes: 0, saldo_carbono_kg: 0 }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);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5 — Resultado real das 3 operações de DELETE e o recálculo manual da meta afetada.</w:t>
      </w:r>
    </w:p>
    <w:p>
      <w:pPr>
        <w:pStyle w:val="Heading2"/>
        <w:spacing w:after="120" w:before="260"/>
      </w:pPr>
      <w:r>
        <w:t xml:space="preserve">7.5 Estado final das collections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6 — Contagem final de documentos por collection após todas as operações de CRUD.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745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Print 7 — Um documento completo de amostra de cada uma das 5 collections, no estado final.</w:t>
      </w:r>
    </w:p>
    <w:p>
      <w:pPr>
        <w:pStyle w:val="Heading1"/>
        <w:spacing w:after="160" w:before="320"/>
      </w:pPr>
      <w:r>
        <w:t xml:space="preserve">8. Modelagem Flexível (Schema Dinâmico) Demonstrada</w:t>
      </w:r>
    </w:p>
    <w:p>
      <w:pPr>
        <w:spacing w:after="160" w:line="300"/>
      </w:pPr>
      <w:r>
        <w:t xml:space="preserve">O modelo relacional original exigiria uma alteração de schema (ALTER TABLE ... ADD COLUMN) para acomodar qualquer um dos campos abaixo em todas as linhas de uma tabela, mesmo quando o dado só existe para alguns registros. No MongoDB, os mesmos campos foram adicionados apenas aos documentos que realmente os possuem, sem alterar o restante da collection: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540"/>
      </w:tblGrid>
      <w:tr>
        <w:trPr>
          <w:tblHeader/>
        </w:trPr>
        <w:tc>
          <w:tcPr>
            <w:tcW w:type="dxa" w:w="26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6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extra (presente em alguns documentos)</w:t>
            </w:r>
          </w:p>
        </w:tc>
        <w:tc>
          <w:tcPr>
            <w:tcW w:type="dxa" w:w="354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de negócio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usuarios_esg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certificacoes (array de strings)</w:t>
            </w:r>
          </w:p>
        </w:tc>
        <w:tc>
          <w:tcPr>
            <w:tcW w:type="dxa" w:w="3540"/>
            <w:shd w:fill="FFFFFF" w:val="clear"/>
          </w:tcPr>
          <w:p>
            <w:r>
              <w:rPr>
                <w:sz w:val="20"/>
                <w:szCs w:val="20"/>
              </w:rPr>
              <w:t xml:space="preserve">Apenas usuários com certificações profissionais de ESG têm esse dado; os demais 10 documentos não possuem o campo.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categorias_emissao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incentivo (subdocumento com desconto_meta_pct e descricao)</w:t>
            </w:r>
          </w:p>
        </w:tc>
        <w:tc>
          <w:tcPr>
            <w:tcW w:type="dxa" w:w="3540"/>
            <w:shd w:fill="F7F7F7" w:val="clear"/>
          </w:tcPr>
          <w:p>
            <w:r>
              <w:rPr>
                <w:sz w:val="20"/>
                <w:szCs w:val="20"/>
              </w:rPr>
              <w:t xml:space="preserve">Só a categoria "Resíduos Recicláveis" oferece um incentivo de meta — as outras 10 categorias não têm esse subdocumento.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registros_emissao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geolocalizacao (subdocumento com lat, lng, cidade)</w:t>
            </w:r>
          </w:p>
        </w:tc>
        <w:tc>
          <w:tcPr>
            <w:tcW w:type="dxa" w:w="3540"/>
            <w:shd w:fill="FFFFFF" w:val="clear"/>
          </w:tcPr>
          <w:p>
            <w:r>
              <w:rPr>
                <w:sz w:val="20"/>
                <w:szCs w:val="20"/>
              </w:rPr>
              <w:t xml:space="preserve">Apenas o registro que veio de um app com GPS habilitado carrega coordenadas; os demais não.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compensacoes_carbono</w:t>
            </w:r>
          </w:p>
        </w:tc>
        <w:tc>
          <w:tcPr>
            <w:tcW w:type="dxa" w:w="3600"/>
            <w:shd w:fill="F7F7F7" w:val="clear"/>
          </w:tcPr>
          <w:p>
            <w:r>
              <w:rPr>
                <w:sz w:val="20"/>
                <w:szCs w:val="20"/>
              </w:rPr>
              <w:t xml:space="preserve">comprovante (subdocumento com arquivo, validado_por, validado_em)</w:t>
            </w:r>
          </w:p>
        </w:tc>
        <w:tc>
          <w:tcPr>
            <w:tcW w:type="dxa" w:w="3540"/>
            <w:shd w:fill="F7F7F7" w:val="clear"/>
          </w:tcPr>
          <w:p>
            <w:r>
              <w:rPr>
                <w:sz w:val="20"/>
                <w:szCs w:val="20"/>
              </w:rPr>
              <w:t xml:space="preserve">Somente a compensação que passou por validação documental formal tem um comprovante anexado.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Essa é a evidência prática de "modelo flexível" pedida no enunciado: dentro da MESMA collection convivem documentos com formatos ligeiramente diferentes, sem que isso quebre nenhuma leitura — consultas que não usam esses campos simplesmente os ignoram, e o campo aparece automaticamente quando presente (ver Print 3, seção 3.7).</w:t>
      </w:r>
    </w:p>
    <w:p>
      <w:pPr>
        <w:pStyle w:val="Heading1"/>
        <w:spacing w:after="160" w:before="320"/>
      </w:pPr>
      <w:r>
        <w:t xml:space="preserve">9. Nota Técnica sobre o Ambiente de Execução</w:t>
      </w:r>
    </w:p>
    <w:p>
      <w:pPr>
        <w:spacing w:after="160" w:line="300"/>
      </w:pPr>
      <w:r>
        <w:t xml:space="preserve">Por transparência metodológica: o ambiente de execução utilizado para gerar este documento tem acesso de rede restrito a um conjunto pré-aprovado de domínios (npm, GitHub, PyPI etc.) e não conseguiu baixar o binário oficial do mongod a partir de fastdl.mongodb.org (necessário para subir um MongoDB via mongodb-memory-server). Para ainda assim executar de fato todos os comandos — e não apenas simular a saída em texto —, o script de CRUD utilizou o pacote "mongo-mock", uma implementação em JavaScript puro que expõe a MESMA API do driver oficial do MongoDB (insertMany, find, updateOne, deleteOne, createIndex, etc.), sem depender de nenhum binário nativo.</w:t>
      </w:r>
    </w:p>
    <w:p>
      <w:pPr>
        <w:spacing w:after="160" w:line="300"/>
      </w:pPr>
      <w:r>
        <w:t xml:space="preserve">Isso significa que todas as chamadas, sintaxes e resultados (matchedCount, modifiedCount, deletedCount, documentos retornados) que aparecem nos Prints 1 a 7 são saídas reais dessa execução — não foram digitadas manualmente. O código é diretamente portável para um MongoDB real (Atlas, Docker ou instalação local): basta trocar o require("mongo-mock") por require("mongodb") e apontar a URI de conexão para o servidor de destino, sem qualquer outra alteração na lógica de negócio. A única funcionalidade não suportada pela biblioteca de mock foi o pipeline de agregação nativo ($group via aggregate()) e o operador posicional de array $[]; ambos foram contornados com equivalentes funcionais (agregação em JavaScript e atualização direta do array), sem alterar o resultado de negócio esperado.</w:t>
      </w:r>
    </w:p>
    <w:p>
      <w:pPr>
        <w:pStyle w:val="Heading1"/>
        <w:spacing w:after="160" w:before="320"/>
      </w:pPr>
      <w:r>
        <w:t xml:space="preserve">10. Conclusão e Aderência aos Critérios de Avaliação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7140"/>
            <w:shd w:fill="2E7D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foi atendido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Aderência ao tema ESG</w:t>
            </w:r>
          </w:p>
        </w:tc>
        <w:tc>
          <w:tcPr>
            <w:tcW w:type="dxa" w:w="7140"/>
            <w:shd w:fill="FFFFFF" w:val="clear"/>
          </w:tcPr>
          <w:p>
            <w:r>
              <w:rPr>
                <w:sz w:val="20"/>
                <w:szCs w:val="20"/>
              </w:rPr>
              <w:t xml:space="preserve">As 5 collections cobrem, de forma explícita, os 3 pilares: Ambiental (categorias e registros de emissão), Social (usuários e ações de compensação com apoio comunitário) e Governança (metas, alertas e certificações de fonte).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Adequação da estrutura NoSQL ao problema</w:t>
            </w:r>
          </w:p>
        </w:tc>
        <w:tc>
          <w:tcPr>
            <w:tcW w:type="dxa" w:w="7140"/>
            <w:shd w:fill="F7F7F7" w:val="clear"/>
          </w:tcPr>
          <w:p>
            <w:r>
              <w:rPr>
                <w:sz w:val="20"/>
                <w:szCs w:val="20"/>
              </w:rPr>
              <w:t xml:space="preserve">Categoria embutida em registro e alertas embutidos em meta eliminam os "joins" mais frequentes do domínio; o restante permanece em collections próprias por ter volume e ciclo de vida independentes.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Completude e qualidade das operações CRUD</w:t>
            </w:r>
          </w:p>
        </w:tc>
        <w:tc>
          <w:tcPr>
            <w:tcW w:type="dxa" w:w="7140"/>
            <w:shd w:fill="FFFFFF" w:val="clear"/>
          </w:tcPr>
          <w:p>
            <w:r>
              <w:rPr>
                <w:sz w:val="20"/>
                <w:szCs w:val="20"/>
              </w:rPr>
              <w:t xml:space="preserve">11 a 12 documentos inseridos por collection; 7 consultas de leitura distintas; 5 atualizações (incluindo updateMany e $inc); 3 remoções com recálculo manual do impacto (equivalente às triggers).</w:t>
            </w:r>
          </w:p>
        </w:tc>
      </w:tr>
      <w:tr>
        <w:tc>
          <w:tcPr>
            <w:tcW w:type="dxa" w:w="2600"/>
            <w:shd w:fill="F7F7F7" w:val="clear"/>
          </w:tcPr>
          <w:p>
            <w:r>
              <w:rPr>
                <w:sz w:val="20"/>
                <w:szCs w:val="20"/>
              </w:rPr>
              <w:t xml:space="preserve">Clareza e profundidade da documentação técnica</w:t>
            </w:r>
          </w:p>
        </w:tc>
        <w:tc>
          <w:tcPr>
            <w:tcW w:type="dxa" w:w="7140"/>
            <w:shd w:fill="F7F7F7" w:val="clear"/>
          </w:tcPr>
          <w:p>
            <w:r>
              <w:rPr>
                <w:sz w:val="20"/>
                <w:szCs w:val="20"/>
              </w:rPr>
              <w:t xml:space="preserve">Justificativa da decisão, mapeamento tabela-a-collection, papel ESG de cada collection, comandos completos e nota honesta sobre a limitação de ambiente na execução.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Representação coerente de dados flexíveis</w:t>
            </w:r>
          </w:p>
        </w:tc>
        <w:tc>
          <w:tcPr>
            <w:tcW w:type="dxa" w:w="7140"/>
            <w:shd w:fill="FFFFFF" w:val="clear"/>
          </w:tcPr>
          <w:p>
            <w:r>
              <w:rPr>
                <w:sz w:val="20"/>
                <w:szCs w:val="20"/>
              </w:rPr>
              <w:t xml:space="preserve">4 campos opcionais (certificações, incentivo, geolocalização, comprovante) presentes em apenas parte dos documentos de suas respectivas collections, sem exigir schema migration.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A migração demonstrada evidencia que o MongoDB é particularmente adequado a soluções ESG justamente pela sua capacidade de acomodar a evolução constante de métricas e formatos de dado que caracteriza esse domínio, ao custo de transferir para a aplicação a responsabilidade pelas regras de consistência que, no modelo relacional, eram garantidas pelas triggers do banco.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01517e9ad81557425e2b4b4b777d06d097052d.png"/><Relationship Id="rId8" Type="http://schemas.openxmlformats.org/officeDocument/2006/relationships/image" Target="media/926480ba84edeb5915aa4902d47b5acddc8225e9.png"/><Relationship Id="rId9" Type="http://schemas.openxmlformats.org/officeDocument/2006/relationships/image" Target="media/b9753b14d45b86886f74b8a04d87e96ea13f8a82.png"/><Relationship Id="rId10" Type="http://schemas.openxmlformats.org/officeDocument/2006/relationships/image" Target="media/06ebb4164d02080d48336b152b480667ad44e1c3.png"/><Relationship Id="rId11" Type="http://schemas.openxmlformats.org/officeDocument/2006/relationships/image" Target="media/76ce4796bc163f1b31958be5063678387e126e9b.png"/><Relationship Id="rId12" Type="http://schemas.openxmlformats.org/officeDocument/2006/relationships/image" Target="media/5745659d65f511a9b8dd946812c50a734f61ef91.png"/><Relationship Id="rId13" Type="http://schemas.openxmlformats.org/officeDocument/2006/relationships/image" Target="media/12718f89b6a0600de2c02622e93ef8092936e81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2026-09-06T23:29:34.541Z</dcterms:created>
  <dcterms:modified xsi:type="dcterms:W3CDTF">2026-09-06T23:29:34.551Z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