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Shodan IF-6000: guion, reparto y plan B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Exposición del jueves 29 de octubre de 2026. Alejandro Arias Rojas y Mariangel Arias Alfaro. Las diapositivas llevan estas mismas notas en el panel de notas del orador.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1. Antes de salir de casa (checklist)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Grabar el video de respaldo</w:t>
      </w:r>
      <w:r>
        <w:rPr>
          <w:rFonts w:ascii="Calibri" w:cs="Calibri" w:eastAsia="Calibri" w:hAnsi="Calibri"/>
          <w:sz w:val="22"/>
          <w:szCs w:val="22"/>
        </w:rPr>
        <w:t xml:space="preserve"> (2 a 3 minutos) con las 3 demos: web, CLI y script. Guardarlo en el celular y en el correo. Es el respaldo que pide el enunciado si hay un problema ajeno a la investigación.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Correr python -m shodan info en la computadora que se va a usar: deben salir 100 créditos de consulta. Correr python shodan_cr.py --offline y confirmar que se generan los gráficos.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Dejar abiertas, ya con sesión iniciada: panel de desarrollador, una búsqueda country:CR en Shodan, y la terminal en la carpeta shodan-evidencias/scripts.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Ocultar la clave de API: no abrir Account &gt; Show delante de la clase.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Llevar el .docx, el PDF de las diapositivas y las capturas en una memoria USB o en la nube, por si falla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Verificar los artículos de la Ley 9048 y la Ley 8968 en el SCIJ: el Word cita una transcripción secundaria de la Ley 9048 y lo dice.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2. Reparto y tiempos (propuesta)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Estimado total: unos 25 minutos.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conocemos el tiempo asignado por el profesor.</w:t>
      </w:r>
      <w:r>
        <w:rPr>
          <w:rFonts w:ascii="Calibri" w:cs="Calibri" w:eastAsia="Calibri" w:hAnsi="Calibri"/>
          <w:sz w:val="22"/>
          <w:szCs w:val="22"/>
        </w:rPr>
        <w:t xml:space="preserve"> Si es menos, recorten primero Características y Funcionamiento a una diapositiva y dejen las 3 demos.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500"/>
        <w:gridCol w:w="1100"/>
        <w:gridCol w:w="32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Diapositiva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Portada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Avisar que todo es consulta pasiva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de la exposición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292,152 servicios en Costa Rica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Créditos y plan académico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Funcionamiento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hicimos y lo que 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Honestidad desde el inicio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Práctica 1: cuenta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1:15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panel de créditos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Práctica 2: CLI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2:00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4 comandos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Práctica 3: web y filtros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2:00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no hacer clic en resultados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Práctica 4: script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correr el script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Otros buscadores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GreyNoise practicado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Ética y ley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Mariangel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1:15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Límites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Conclusiones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Alejandro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1:15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dos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0:30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El reparto asume que la cuenta de Shodan es la de Mariangel (así aparece en las capturas) y que Alejandro maneja la terminal. Cámbienlo si no es así. La rúbrica evalúa participación de ambos, así que ninguno debe quedarse más de 3 diapositivas seguidas sin que hable el otro.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3. Demos en vivo, paso a paso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Demo A: panel de créditos (Mariangel, 1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Abrir developer.shodan.io, panel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Señalar Academic membership, 100 créditos de consulta, 100 de escaneo.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Mensaje: con cuenta gratuita alcanza si se planifica.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Demo B: CLI (Alejandro, 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salir y qué decir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-m shodan info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créditos de consulta y 100 de escaneo.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-m shodan count country:CR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número cercano a 292 mil. Cambia entre consultas porque el índice se actualiza.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-m shodan stats --facets port country:CR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Puerto 7547 primero (unos 69 mil), luego 80 y 161.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-m shodan stats --facets product country:CR port:22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OpenSSH domina entre los servicios SSH.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Demo C: interfaz web (Mariangel, 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Buscar country:CR. Señalar solo los paneles laterales (ciudades, puertos, organizaciones).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Agregar port:22, luego product:nginx, luego ssl.cert.expired:true.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Regla:</w:t>
      </w:r>
      <w:r>
        <w:rPr>
          <w:rFonts w:ascii="Calibri" w:cs="Calibri" w:eastAsia="Calibri" w:hAnsi="Calibri"/>
          <w:sz w:val="22"/>
          <w:szCs w:val="22"/>
        </w:rPr>
        <w:t xml:space="preserve"> no hacer clic en ningún resultado ni leer IPs en voz alta. Si la proyección muestra IPs, no acercar la pantalla.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Demo D: script en Python (Alejandro, 2,5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la carpeta scripts: python shodan_cr.py. Tarda unos segundos por la pausa de 1 s entre consultas.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Abrir salida/00_dashboard.png.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Explicar: solo api.count(), nunca IPs ni banners; los créditos quedan en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Mostrar que existe --offline como respaldo.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4. Plan B si algo falla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pasa esto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Hagan esto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hay internet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shodan_cr.py --offline regenera los 6 gráficos desde datos_cr.json. Para web y CLI, pasar a las capturas de las diapositivas 9 y 10 o reproducir el video.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Shodan no responde o la cuenta se bloquea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las capturas (ya tienen los datos de terceros difuminados) y el video. Decirlo con naturalidad: "para no depender de la red tenemos el respaldo".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agotan los créditos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y stats no consumen créditos, así que solo debería pasar si se descargan resultados. No lo hagan. Si ocurre, usar el modo offline.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Falla la terminal o Python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de respaldo y capturas 03, 04, 05, 06 del Word.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cae el proyector o el archivo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Tener el PDF de las diapositivas y el Word en USB y en la nube.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Aparecen IPs o datos de terceros en pantalla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leerlos ni abrir el resultado. Cambiar de búsqueda o volver a las capturas difuminadas.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5. Preguntas probables y cómo responder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apoyada en lo que verificamos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¿Shodan es legal?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su índice es una consulta pasiva. Conectarse a un dispositivo, probar claves o interactuar con él es otra cosa y puede ser delito (Ley 9048). No somos abogados y verificamos el texto en una transcripción.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¿Por qué solo practicaron con Shodan y GreyNoise?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Verificamos Censys, ZoomEye y FOFA en sus fuentes (un artículo de 2015 y sus sitios oficiales) y no los probamos. Con la cuenta académica gratuita Shodan alcanzó para el laboratorio completo.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¿Esos 292 mil son equipos vulnerables?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No. Son servicios indexados, no equipos únicos ni vulnerables. Afirmar vulnerabilidad exigiría pruebas autorizadas.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¿Por qué el total cambia?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índice se actualiza continuamente: el mismo día salió 292,118 con la CLI, 292,152 con el script y 293,085 en la web.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diferencia hay con Censys?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Según sus autores (2015), Censys se apoya en ZMap y ZGrab y permite consultar campos estructurados. Es una afirmación de ese artículo y puede haber cambiado. No lo probamos.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es el puerto 7547?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el más frecuente en nuestros datos. Los productos con TR-069 en el nombre sugieren equipos de hogares gestionados por el proveedor, pero es una hipótesis que no probamos.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¿Cuánto cuesta Shodan?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lo verificamos. El plan académico gratuito da 100 créditos de consulta y 100 de escaneo según su documentación; los planes y límites deben verificarse en la documentación vigente.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¿Cómo se protege una empresa?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Auditar qué ve el exterior, cerrar servicios de administración, renovar certificados vencidos y retirar software fuera de soporte. Cambiar el puerto o bloquear escáneres no basta (Wu et al., 2024).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9E2F1D"/>
          <w:sz w:val="30"/>
          <w:szCs w:val="30"/>
        </w:rPr>
        <w:t xml:space="preserve">6. Evaluación honesta contra la rúbrica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rúbrica del PDF muestra 6 criterios de 4 puntos (24 puntos), pero la escala llega a 28.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Confirmen con el profesor si hay un séptimo criterio.</w:t>
      </w:r>
      <w:r>
        <w:rPr>
          <w:rFonts w:ascii="Calibri" w:cs="Calibri" w:eastAsia="Calibri" w:hAnsi="Calibri"/>
          <w:sz w:val="22"/>
          <w:szCs w:val="22"/>
        </w:rPr>
        <w:t xml:space="preserve"> Esta es nuestra lectura, no una nota garantizada.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60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probable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3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y qué lo sube o lo 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Excelente (4)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contexto, objetivo general y específicos, alcance y declaración ética. Sube más si Mariangel la resume bien al abrir.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de la temática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Excelente a Bueno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Cubre los 7 puntos con fuentes primarias. Baja si el profesor objeta fuentes: la Ley 9048 se citó desde una transcripción secundaria y ZoomEye y FOFA solo desde sus sitios.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Conclusiones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Excelente (4)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una cita una figura o tabla del desarrollo.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Manejo de aplicaciones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Bueno a Excelente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Web, CLI, API y GreyNoise con evidencia. Lo que más pesa es que las demos salgan fluidas; ensayen.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Ejemplificación de uso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Excelente (4)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Cuatro prácticas con objetivo, comando, resultado y conclusión, más un panorama real de Costa Rica.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oral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 de ustedes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diapositivas tienen poco texto y el reparto es parejo. Ensayen con cronómetro al menos una vez completa.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Debilidades reales:</w:t>
      </w:r>
      <w:r>
        <w:rPr>
          <w:rFonts w:ascii="Calibri" w:cs="Calibri" w:eastAsia="Calibri" w:hAnsi="Calibri"/>
          <w:sz w:val="22"/>
          <w:szCs w:val="22"/>
        </w:rPr>
        <w:t xml:space="preserve"> (1) las interpretaciones sobre el puerto 7547 y los proveedores son hipótesis; (2) los datos son de una sola fecha; (3) Censys, ZoomEye y FOFA no se probaron; (4) la Ley 9048 se verificó en transcripciones, no en el SCIJ.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2026-10-29T01:15:41.745Z</dcterms:created>
  <dcterms:modified xsi:type="dcterms:W3CDTF">2026-10-29T01:15:41.745Z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