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Northwind Analytics - Asset Management Procedure</w:t>
      </w:r>
    </w:p>
    <w:p>
      <w:r>
        <w:t xml:space="preserve">(Fictitious document for demonstration purposes only.)</w:t>
      </w:r>
    </w:p>
    <w:p>
      <w:r>
        <w:t xml:space="preserve">Hardware Inventory</w:t>
      </w:r>
    </w:p>
    <w:p>
      <w:r>
        <w:t xml:space="preserve">Inventories of hardware managed by the organization are maintained in our configuration management database (CMDB). Every laptop, server, and network device is recorded with an owner, location, and serial number.</w:t>
      </w:r>
    </w:p>
    <w:p>
      <w:r>
        <w:t xml:space="preserve">The hardware inventory is reconciled monthly against procurement records, and the last reconciliation was completed on the first business day of this month.</w:t>
      </w:r>
    </w:p>
    <w:p>
      <w:r>
        <w:t xml:space="preserve">Software Inventory</w:t>
      </w:r>
    </w:p>
    <w:p>
      <w:r>
        <w:t xml:space="preserve">A list of approved applications is kept by the IT team.</w:t>
      </w:r>
    </w:p>
    <w:p>
      <w:r>
        <w:t xml:space="preserve">Ownership</w:t>
      </w:r>
    </w:p>
    <w:p>
      <w:r>
        <w:t xml:space="preserve">Each asset has a designated owner who is responsible for keeping its record up to date.</w:t>
      </w:r>
    </w:p>
    <w:sectPr/>
  </w:body>
</w:document>
</file>