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ANTEPROYECTO DE INVESTIGACIÓN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Modelado predictivo de localidades fósiles del Perú mediante integración geológica, teledetección y aprendizaje automático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Inventario nacional de yacimientos y mapa de prospectividad paleontológica</w:t>
      </w:r>
    </w:p>
    <w:p>
      <w:pPr>
        <w:spacing w:after="30"/>
        <w:jc w:val="center"/>
      </w:pPr>
      <w:r>
        <w:rPr>
          <w:rFonts w:ascii="Arial" w:cs="Arial" w:eastAsia="Arial" w:hAnsi="Arial"/>
          <w:sz w:val="19"/>
          <w:szCs w:val="19"/>
        </w:rPr>
        <w:t xml:space="preserve">Área: Ingeniería Estadística e Informática  |  Ámbito: República del Perú</w:t>
      </w:r>
    </w:p>
    <w:p>
      <w:pPr>
        <w:spacing w:after="180"/>
        <w:jc w:val="center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Documento de trabajo — versión 1.3  |  Implementación: R + RStudio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 Resumen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Este proyecto propone construir el primer inventario nacional georreferenciado de localidades fósiles del Perú y, a partir de él, un mapa de prospectividad paleontológica con incertidumbre cuantificada. La implementación completa se realiza en R mediante RStudio, integrando la Carta Geológica Nacional (INGEMMET), ocurrencias fósiles abiertas (PBDB, GBIF) y covariables de teledetección (Sentinel-2, DEM vía Google Earth Engine). El flujo combina un modelo base geológico obligatorio con modelos de distribución espacial (MaxEnt, Random Forest, Gradient Boosting), bajo control explícito del sesgo de muestreo y validación cruzada con bloqueo espacial. El presente documento detalla el paso a paso técnico necesario para reproducir el análisis y generar los productos del artículo científico.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 Planteamiento del problema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registro fósil peruano está severamente submuestreado y espacialmente sesgado. La evidencia de dinosaurios y otros vertebrados del Mesozoico se concentra en muy pocos puntos —notablemente la cuenca de Bagua (Amazonas), único lugar del país que ha proporcionado huesos y dientes, además de huellas documentadas en Áncash y Puno—, no porque el resto del territorio carezca de fósiles, sino porque las campañas de campo se han limitado a zonas accesibles y con financiamiento previo.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Esto plantea un problema de doble naturaleza: no existe un inventario nacional sistemático y georreferenciado, y la prospección de nuevos yacimientos sigue guiándose por criterios informales y accesibilidad logística en lugar de un modelo cuantitativo.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Pregunta central: </w:t>
      </w:r>
      <w:r>
        <w:rPr>
          <w:rFonts w:ascii="Arial" w:cs="Arial" w:eastAsia="Arial" w:hAnsi="Arial"/>
          <w:sz w:val="21"/>
          <w:szCs w:val="21"/>
        </w:rPr>
        <w:t xml:space="preserve">¿es posible estimar, a escala nacional y con incertidumbre cuantificada, la probabilidad relativa de ocurrencia de localidades fósiles en el territorio peruano a partir de variables geológicas y de teledetección, controlando el sesgo de muestreo histórico?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 Justificación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Prioriza el esfuerzo de campo hacia zonas de mayor potencial.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Consolida el patrimonio paleontológico en un repositorio georreferenciado.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Aporta insumos para estudios de impacto ambiental en infraestructura y minería.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Ofrece un método reproducible y transferible a otras regiones andino-amazónicas.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Contrarresta con evidencia rigurosa la circulación de información falsa sobre el registro fósil.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 Objetivos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4.1 Objetivo general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Desarrollar un inventario nacional georreferenciado de localidades fósiles del Perú y un mapa de prospectividad paleontológica con incertidumbre cuantificada, implementado íntegramente en R (RStudio), integrando información geológica, de teledetección y aprendizaje automático bajo validación robusta al sesgo espacial.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4.2 Objetivos específicos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Consolidar en una base única, depurada y georreferenciada, las localidades fósiles conocidas (PBDB, GBIF, INGEMMET y literatura).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Determinar el número efectivo de localidades independientes (censo de viabilidad) y definir la familia de modelos defendible.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Construir el conjunto de covariables predictoras a resolución espacial común.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Establecer el modelo base de favorabilidad geológica como referencia empírica obligatoria.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Entrenar y comparar modelos de distribución espacial en RStudio con control de sesgo y validación por bloques espaciales.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Generar el mapa de prospectividad, el mapa de incertidumbre y las figuras del artículo científico.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 Hipótesis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H1. </w:t>
      </w:r>
      <w:r>
        <w:rPr>
          <w:rFonts w:ascii="Arial" w:cs="Arial" w:eastAsia="Arial" w:hAnsi="Arial"/>
          <w:sz w:val="21"/>
          <w:szCs w:val="21"/>
        </w:rPr>
        <w:t xml:space="preserve">La ocurrencia de localidades fósiles se explica principalmente por la formación geológica, su edad y su grado de exposición superficial.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H2. </w:t>
      </w:r>
      <w:r>
        <w:rPr>
          <w:rFonts w:ascii="Arial" w:cs="Arial" w:eastAsia="Arial" w:hAnsi="Arial"/>
          <w:sz w:val="21"/>
          <w:szCs w:val="21"/>
        </w:rPr>
        <w:t xml:space="preserve">Un modelo de aprendizaje automático supera al modelo base geológico solo si se controla explícitamente el sesgo de accesibilidad.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H3. </w:t>
      </w:r>
      <w:r>
        <w:rPr>
          <w:rFonts w:ascii="Arial" w:cs="Arial" w:eastAsia="Arial" w:hAnsi="Arial"/>
          <w:sz w:val="21"/>
          <w:szCs w:val="21"/>
        </w:rPr>
        <w:t xml:space="preserve">La validación cruzada aleatoria sobrestima el desempeño respecto a la validación con bloqueo espacial.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 Marco conceptual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trabajo se inscribe en el modelado predictivo paleontológico, heredero del modelado de prospectividad mineral y de los modelos de distribución de especies (SDM). Un fósil solo aparece donde coinciden roca sedimentaria de la edad adecuada, ambiente de preservación favorable y exposición superficial. El predictor dominante es geológico. Los datos son presence-only y reflejan dónde se ha buscado, no necesariamente dónde existe el recurso; por ello el control del sesgo de muestreo es condición de validez.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7. Datos necesarios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4240"/>
      </w:tblGrid>
      <w:tr>
        <w:tc>
          <w:tcPr>
            <w:tcW w:type="dxa" w:w="21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</w:t>
            </w:r>
          </w:p>
        </w:tc>
        <w:tc>
          <w:tcPr>
            <w:tcW w:type="dxa" w:w="39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  <w:tc>
          <w:tcPr>
            <w:tcW w:type="dxa" w:w="424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Localidades fósiles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Presencias: coordenadas, taxón, edad, formación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PBDB, GBIF, INGEMMET, literatura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Geología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Formación, litología, edad estratigráfica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Carta Geológica Nacional 1:100k (GEOCATMIN)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Exposición de roca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Índices de suelo desnudo / vegetación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Sentinel-2 (Google Earth Engine)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Relieve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Pendiente, curvatura, orientación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Copernicus DEM / SRTM (GEE)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Accesibilidad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Distancia a vías, centros urbanos, ríos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OSM, IGN, MTC, ANA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Máscara</w:t>
            </w:r>
          </w:p>
        </w:tc>
        <w:tc>
          <w:tcPr>
            <w:tcW w:type="dxa" w:w="3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Límite nacional, cuerpos de agua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IGN, ANA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8. Metodología completa en R + RStudio (paso a paso)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Toda la implementación se realiza en R mediante RStudio. El procesamiento de imágenes Sentinel-2 y DEM se ejecuta en Google Earth Engine y los rasters resultantes se importan a R. A continuación se describe el flujo operativo completo.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8.1 Fase 0 — Censo de viabilidad e inventario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Descargar ocurrencias de PBDB (API o generador de descargas) filtradas por país = Perú.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Descargar ocurrencias de GBIF con basisOfRecord = FOSSIL_SPECIMEN y country = PE (requiere cuenta GBIF).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Incorporar registros de la base paleontológica de INGEMMET (catálogo virtual + solicitud formal si es necesario) y de la literatura publicada.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Unificar coordenadas, taxonomía, edad y formación en una sola tabla.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Filtrar puntos dentro de los límites oficiales del Perú.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Deduplicar espacialmente (buffer de 1–2 km) para obtener el número efectivo de localidades independientes (N).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Reportar N con fecha de corte. Este valor decide la familia de modelos admisible.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8.2 Fase 1 — Unidad de análisis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Definir grilla regular (recomendado 1 km × 1 km) sobre el territorio nacional.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Asignar a cada celda la variable respuesta: presencia (al menos una localidad) o fondo.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Generar máscara de análisis (excluir cuerpos de agua y áreas sin cobertura de covariables).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8.3 Fase 2 — Construcción de covariables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Importar shapefile de la Carta Geológica Nacional y rasterizar formación, litología y edad a la resolución de la grilla.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 Google Earth Engine: calcular índices de exposición de roca (BSI, NDVI u otros) a partir de Sentinel-2 y exportar.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Derivar pendiente, curvatura y orientación a partir del DEM (Copernicus GLO-30 o SRTM).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Calcular distancias a red vial, centros poblados y ríos navegables (covariables de sesgo de accesibilidad).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Alinear todas las capas a la misma extensión, resolución y sistema de referencia (recomendado WGS 84 / UTM o lat-long).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8.4 Fase 3 — Modelo base geológico (obligatorio)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Calcular favorabilidad por formación geológica y edad mediante Pesos de Evidencia (Weights of Evidence) o regresión logística simple.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Evaluar el modelo base con validación cruzada por bloques espaciales.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Conservar este resultado como línea base empírica. Ningún modelo posterior se acepta si no lo supera de forma clara.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8.5 Fase 4 — Generación de background y entrenamiento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Generar puntos de fondo con el método target-group background (replicar el sesgo espacial de las presencias).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Incluir las covariables de accesibilidad para modelar explícitamente el sesgo de muestreo.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Definir bloques espaciales con el paquete blockCV (o equivalente).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Entrenar los modelos candidatos según el N obtenido (ver Sección 9).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Evaluar todos los modelos con las mismas métricas bajo bloqueo espacial (AUC, TSS, Boyce Index).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Seleccionar el modelo final solo si supera al modelo base geológico y a MaxEnt.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8.6 Fase 5 — Predicción, incertidumbre y productos del artículo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Generar el mapa de prospectividad (probabilidad relativa) sobre toda la grilla nacional.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Calcular el mapa de incertidumbre (desviación entre pliegues de la validación espacial o bootstrap).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Validar con un conjunto de localidades geográficamente independientes (si se dispone de ellas).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Producir las figuras y tablas del artículo científico (ver Sección 12).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Documentar el repositorio reproducible (código + renv + datos procesados).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9. Modelos y estrategia de entrenamiento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Principio rector: línea base empírica antes de aprendizaje automático. La familia de modelos depende del N efectivo tras el censo de viabilidad.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4240"/>
      </w:tblGrid>
      <w:tr>
        <w:tc>
          <w:tcPr>
            <w:tcW w:type="dxa" w:w="17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 localidades</w:t>
            </w:r>
          </w:p>
        </w:tc>
        <w:tc>
          <w:tcPr>
            <w:tcW w:type="dxa" w:w="43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Modelos defendibles</w:t>
            </w:r>
          </w:p>
        </w:tc>
        <w:tc>
          <w:tcPr>
            <w:tcW w:type="dxa" w:w="424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 &lt; 30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Inventario + favorabilidad geológica (WoE / logística)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se justifica ML complejo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30 ≤ N &lt; 80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Modelo base + MaxEnt (regularización fuerte)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Reportar con cautela</w:t>
            </w:r>
          </w:p>
        </w:tc>
      </w:tr>
      <w:tr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 ≥ 80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MaxEnt + Random Forest + Gradient Boosting (XGBoost / LightGBM / CatBoost)</w:t>
            </w:r>
          </w:p>
        </w:tc>
        <w:tc>
          <w:tcPr>
            <w:tcW w:type="dxa" w:w="4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Siempre con bloqueo espacial y control de sesgo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9.1 Paquetes principales en R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Datos espaciales: </w:t>
      </w:r>
      <w:r>
        <w:rPr>
          <w:rFonts w:ascii="Arial" w:cs="Arial" w:eastAsia="Arial" w:hAnsi="Arial"/>
          <w:sz w:val="21"/>
          <w:szCs w:val="21"/>
        </w:rPr>
        <w:t xml:space="preserve">terra, sf, stars.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Modelo base: </w:t>
      </w:r>
      <w:r>
        <w:rPr>
          <w:rFonts w:ascii="Arial" w:cs="Arial" w:eastAsia="Arial" w:hAnsi="Arial"/>
          <w:sz w:val="21"/>
          <w:szCs w:val="21"/>
        </w:rPr>
        <w:t xml:space="preserve">stats / glmnet; implementación de Pesos de Evidencia.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MaxEnt: </w:t>
      </w:r>
      <w:r>
        <w:rPr>
          <w:rFonts w:ascii="Arial" w:cs="Arial" w:eastAsia="Arial" w:hAnsi="Arial"/>
          <w:sz w:val="21"/>
          <w:szCs w:val="21"/>
        </w:rPr>
        <w:t xml:space="preserve">maxnet (preferido), dismo.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Machine learning: </w:t>
      </w:r>
      <w:r>
        <w:rPr>
          <w:rFonts w:ascii="Arial" w:cs="Arial" w:eastAsia="Arial" w:hAnsi="Arial"/>
          <w:sz w:val="21"/>
          <w:szCs w:val="21"/>
        </w:rPr>
        <w:t xml:space="preserve">ranger (Random Forest), xgboost, lightgbm, catboost.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Validación espacial: </w:t>
      </w:r>
      <w:r>
        <w:rPr>
          <w:rFonts w:ascii="Arial" w:cs="Arial" w:eastAsia="Arial" w:hAnsi="Arial"/>
          <w:sz w:val="21"/>
          <w:szCs w:val="21"/>
        </w:rPr>
        <w:t xml:space="preserve">blockCV, spatialsample, CAST.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SDM auxiliares: </w:t>
      </w:r>
      <w:r>
        <w:rPr>
          <w:rFonts w:ascii="Arial" w:cs="Arial" w:eastAsia="Arial" w:hAnsi="Arial"/>
          <w:sz w:val="21"/>
          <w:szCs w:val="21"/>
        </w:rPr>
        <w:t xml:space="preserve">flexsdm o biomod2 (opcional).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Visualización: </w:t>
      </w:r>
      <w:r>
        <w:rPr>
          <w:rFonts w:ascii="Arial" w:cs="Arial" w:eastAsia="Arial" w:hAnsi="Arial"/>
          <w:sz w:val="21"/>
          <w:szCs w:val="21"/>
        </w:rPr>
        <w:t xml:space="preserve">ggplot2, tmap, terra.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Reproducibilidad: </w:t>
      </w:r>
      <w:r>
        <w:rPr>
          <w:rFonts w:ascii="Arial" w:cs="Arial" w:eastAsia="Arial" w:hAnsi="Arial"/>
          <w:sz w:val="21"/>
          <w:szCs w:val="21"/>
        </w:rPr>
        <w:t xml:space="preserve">renv, git.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9.2 Reglas de entrenamiento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Fondo con sesgo replicado (target-group background).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Incluir covariables de accesibilidad para aislar el efecto del sesgo de muestreo.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Validación cruzada exclusivamente con bloqueo espacial (nunca k-fold aleatorio).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Reportar AUC, TSS y Boyce Index solo bajo bloques de validación.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Acompañar siempre el mapa de probabilidad con un mapa de incertidumbre.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10. Entorno de software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Lenguaje e IDE: </w:t>
      </w:r>
      <w:r>
        <w:rPr>
          <w:rFonts w:ascii="Arial" w:cs="Arial" w:eastAsia="Arial" w:hAnsi="Arial"/>
          <w:sz w:val="21"/>
          <w:szCs w:val="21"/>
        </w:rPr>
        <w:t xml:space="preserve">R + RStudio (Posit).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Gestión de entorno: </w:t>
      </w:r>
      <w:r>
        <w:rPr>
          <w:rFonts w:ascii="Arial" w:cs="Arial" w:eastAsia="Arial" w:hAnsi="Arial"/>
          <w:sz w:val="21"/>
          <w:szCs w:val="21"/>
        </w:rPr>
        <w:t xml:space="preserve">renv para congelar versiones de paquetes.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Control de versiones: </w:t>
      </w:r>
      <w:r>
        <w:rPr>
          <w:rFonts w:ascii="Arial" w:cs="Arial" w:eastAsia="Arial" w:hAnsi="Arial"/>
          <w:sz w:val="21"/>
          <w:szCs w:val="21"/>
        </w:rPr>
        <w:t xml:space="preserve">Git + repositorio remoto.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Teledetección: </w:t>
      </w:r>
      <w:r>
        <w:rPr>
          <w:rFonts w:ascii="Arial" w:cs="Arial" w:eastAsia="Arial" w:hAnsi="Arial"/>
          <w:sz w:val="21"/>
          <w:szCs w:val="21"/>
        </w:rPr>
        <w:t xml:space="preserve">Google Earth Engine (exportación de rasters a R).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Se elige R por su ecosistema maduro en modelos de distribución, validación espacial y métricas ecológicas, alineado con la literatura de paleontological predictive modeling.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11. Consideraciones metodológicas críticas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Tres amenazas a la validez se tratan por diseño: (i) datos solo-presencia → construcción cuidadosa del fondo; (ii) sesgo de accesibilidad → covariables de distancia y target-group background; (iii) autocorrelación espacial → validación con bloqueo espacial. Ignorar cualquiera de ellas produce métricas altas sin valor predictivo real.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12. Productos esperados y figuras del artículo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12.1 Productos principales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Base de datos nacional depurada y georreferenciada de localidades fósiles.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Mapa de prospectividad paleontológica del Perú.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Mapa de incertidumbre asociado.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Repositorio reproducible (código R + renv + datos procesados).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Manuscrito científico con método, resultados de validación y figuras.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12.2 Figuras y gráficos recomendados para el artículo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Mapa de localidades fósiles conocidas sobre fondo geológico o topográfico (inventario).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Histograma o barra del número de localidades por formación / edad / clase taxonómica.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Mapa de las covariables principales (ej. formación geológica, pendiente, índice de exposición, distancia a vías).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Diagrama de bloques espaciales usados en la validación cruzada.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Curvas ROC o valores de AUC/TSS/Boyce por modelo y por pliegue espacial (comparación de desempeño).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Importancia de variables (Random Forest / Boosting) o contribuciones (MaxEnt).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Mapa de prospectividad final (probabilidad relativa).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Mapa de incertidumbre (desviación estándar o intervalo).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Mapa combinado o de priorización (prospectividad alta + incertidumbre baja).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sz w:val="21"/>
          <w:szCs w:val="21"/>
        </w:rPr>
        <w:t xml:space="preserve">Tabla resumen de métricas de validación espacial por modelo (modelo base, MaxEnt, RF, Boosting).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12.3 Tablas del artículo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Tabla de fuentes de datos y número de registros por fuente (con fecha de corte).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Tabla del censo de viabilidad: N bruto, N tras filtro espacial, N efectivo tras deduplicación.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Tabla de hiperparámetros y configuración de cada modelo.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Tabla de métricas de validación espacial (media ± desviación entre pliegues).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13. Plan de trabajo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0"/>
        <w:gridCol w:w="4140"/>
      </w:tblGrid>
      <w:tr>
        <w:tc>
          <w:tcPr>
            <w:tcW w:type="dxa" w:w="11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500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4140"/>
            <w:tcBorders>
              <w:top w:val="single" w:color="2F5496" w:sz="1"/>
              <w:left w:val="single" w:color="2F5496" w:sz="1"/>
              <w:bottom w:val="single" w:color="2F5496" w:sz="1"/>
              <w:right w:val="single" w:color="2F5496" w:sz="1"/>
            </w:tcBorders>
            <w:shd w:fill="2F5496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Censo de viabilidad e inventario en R</w:t>
            </w:r>
          </w:p>
        </w:tc>
        <w:tc>
          <w:tcPr>
            <w:tcW w:type="dxa" w:w="41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Base depurada + N efectivo con fecha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Revisión de literatura y marco</w:t>
            </w:r>
          </w:p>
        </w:tc>
        <w:tc>
          <w:tcPr>
            <w:tcW w:type="dxa" w:w="41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Estado del arte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Covariables (GEE → R)</w:t>
            </w:r>
          </w:p>
        </w:tc>
        <w:tc>
          <w:tcPr>
            <w:tcW w:type="dxa" w:w="41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Pila de capas alineadas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Modelo base geológico</w:t>
            </w:r>
          </w:p>
        </w:tc>
        <w:tc>
          <w:tcPr>
            <w:tcW w:type="dxa" w:w="41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Referencia empírica validada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Entrenamiento ML en RStudio</w:t>
            </w:r>
          </w:p>
        </w:tc>
        <w:tc>
          <w:tcPr>
            <w:tcW w:type="dxa" w:w="41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Comparación bajo bloqueo espacial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Mapas + figuras del artículo</w:t>
            </w:r>
          </w:p>
        </w:tc>
        <w:tc>
          <w:tcPr>
            <w:tcW w:type="dxa" w:w="41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Prospectividad + incertidumbre + gráficos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Redacción y repositorio</w:t>
            </w:r>
          </w:p>
        </w:tc>
        <w:tc>
          <w:tcPr>
            <w:tcW w:type="dxa" w:w="41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5"/>
              <w:left w:type="dxa" w:w="70"/>
              <w:bottom w:type="dxa" w:w="45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Manuscrito + código reproducible</w:t>
            </w:r>
          </w:p>
        </w:tc>
      </w:tr>
    </w:tbl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14. Limitaciones y consideraciones éticas</w:t>
      </w:r>
    </w:p>
    <w:p>
      <w:pPr>
        <w:spacing w:after="100" w:before="0" w:line="2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El producto es una herramienta de priorización probabilística, no una garantía de hallazgo. Un N bajo puede restringir el alcance a un mapa de favorabilidad geológica (resultado válido y honesto). La difusión de zonas de alto potencial debe manejarse con criterio para no incentivar la extracción informal; el patrimonio paleontológico está protegido por ley y su recolección requiere autorización.</w:t>
      </w:r>
    </w:p>
    <w:p>
      <w:pPr>
        <w:pStyle w:val="Heading1"/>
        <w:spacing w:after="14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15. Fuentes de datos (con enlaces) y literatura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15.1 Cómo descargar los datos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F5496"/>
          <w:sz w:val="21"/>
          <w:szCs w:val="21"/>
        </w:rPr>
        <w:t xml:space="preserve">A. Localidades fósiles</w:t>
      </w:r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PBDB — portal: </w:t>
      </w:r>
      <w:hyperlink w:history="1" r:id="rIdhyvps-uhvsdv8kaclqzkg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https://paleobiodb.org/</w:t>
        </w:r>
      </w:hyperlink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PBDB — generador de descargas: </w:t>
      </w:r>
      <w:hyperlink w:history="1" r:id="rIdxsofnonfvv8buvbpbhiab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https://paleobiodb.org/classic/displayDownloadGenerator</w:t>
        </w:r>
      </w:hyperlink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PBDB — API ejemplo Perú: </w:t>
      </w:r>
      <w:hyperlink w:history="1" r:id="rIdj9dyo5z9ugvv7zmgbffyp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https://paleobiodb.org/data1.2/occs/list.csv?cc=PE&amp;show=coords,loc,strat,lith,class,ident&amp;limit=all</w:t>
        </w:r>
      </w:hyperlink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GBIF — fósiles Perú: </w:t>
      </w:r>
      <w:hyperlink w:history="1" r:id="rIdpkzu42g06gvle69cys4d-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https://www.gbif.org/occurrence/search?country=PE&amp;basis_of_record=FOSSIL_SPECIMEN</w:t>
        </w:r>
      </w:hyperlink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INGEMMET — catálogo paleontológico: </w:t>
      </w:r>
      <w:hyperlink w:history="1" r:id="rIdstupdowro7dvtgvvk3ha3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https://geocatminapp.ingemmet.gob.pe/fosilcgperu/</w:t>
        </w:r>
      </w:hyperlink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INGEMMET — servicio catálogo: </w:t>
      </w:r>
      <w:hyperlink w:history="1" r:id="rIdwisip8vlahhrn0qq4f-xt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https://www.gob.pe/15376</w:t>
        </w:r>
      </w:hyperlink>
    </w:p>
    <w:p>
      <w:pPr>
        <w:spacing w:after="80" w:before="160"/>
      </w:pPr>
      <w:r>
        <w:rPr>
          <w:rFonts w:ascii="Arial" w:cs="Arial" w:eastAsia="Arial" w:hAnsi="Arial"/>
          <w:b/>
          <w:bCs/>
          <w:color w:val="2F5496"/>
          <w:sz w:val="21"/>
          <w:szCs w:val="21"/>
        </w:rPr>
        <w:t xml:space="preserve">B. Geología</w:t>
      </w:r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GEOCATMIN (shapefiles): </w:t>
      </w:r>
      <w:hyperlink w:history="1" r:id="rIdhapefad0i4dyrfhj2zrbk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https://geocatmin.ingemmet.gob.pe/</w:t>
        </w:r>
      </w:hyperlink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Carta Geológica Nacional: </w:t>
      </w:r>
      <w:hyperlink w:history="1" r:id="rId2sbsrmbu7t8lcx3pk1xab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https://www.ingemmet.gob.pe/carta-geologica-nacional</w:t>
        </w:r>
      </w:hyperlink>
    </w:p>
    <w:p>
      <w:pPr>
        <w:spacing w:after="80" w:before="160"/>
      </w:pPr>
      <w:r>
        <w:rPr>
          <w:rFonts w:ascii="Arial" w:cs="Arial" w:eastAsia="Arial" w:hAnsi="Arial"/>
          <w:b/>
          <w:bCs/>
          <w:color w:val="2F5496"/>
          <w:sz w:val="21"/>
          <w:szCs w:val="21"/>
        </w:rPr>
        <w:t xml:space="preserve">C. Teledetección</w:t>
      </w:r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Google Earth Engine: </w:t>
      </w:r>
      <w:hyperlink w:history="1" r:id="rId530byndex_4ohqurvrln5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https://code.earthengine.google.com/</w:t>
        </w:r>
      </w:hyperlink>
    </w:p>
    <w:p>
      <w:pPr>
        <w:spacing w:after="100" w:before="0" w:line="27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Colecciones: COPERNICUS/S2_SR (Sentinel-2) y COPERNICUS/DEM/GLO30 o USGS/SRTMGL1_003 (elevación).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F5496"/>
          <w:sz w:val="21"/>
          <w:szCs w:val="21"/>
        </w:rPr>
        <w:t xml:space="preserve">D. Accesibilidad y bases</w:t>
      </w:r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OSM carreteras Perú (HDX): </w:t>
      </w:r>
      <w:hyperlink w:history="1" r:id="rId4ve_ttmrqjfv_3tcnxhlq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https://data.humdata.org/dataset/hotosm_per_roads</w:t>
        </w:r>
      </w:hyperlink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IDEP / IGN: </w:t>
      </w:r>
      <w:hyperlink w:history="1" r:id="rId66ylwnh0cce0f0t3jtnyv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https://www.idep.gob.pe/</w:t>
        </w:r>
      </w:hyperlink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ANA: </w:t>
      </w:r>
      <w:hyperlink w:history="1" r:id="rIdpxka2oyrmdwcpscrsdshi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https://www.ana.gob.pe/</w:t>
        </w:r>
      </w:hyperlink>
    </w:p>
    <w:p>
      <w:pPr>
        <w:pStyle w:val="ListParagraph"/>
        <w:numPr>
          <w:ilvl w:val="0"/>
          <w:numId w:val="2"/>
        </w:numPr>
        <w:spacing w:after="55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MTC: </w:t>
      </w:r>
      <w:hyperlink w:history="1" r:id="rIdybvb6ew1myhy4xg02m0k3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https://portal.mtc.gob.pe/</w:t>
        </w:r>
      </w:hyperlink>
    </w:p>
    <w:p>
      <w:pPr>
        <w:spacing w:after="100" w:before="0" w:line="270"/>
        <w:jc w:val="both"/>
      </w:pPr>
      <w:r>
        <w:rPr>
          <w:rFonts w:ascii="Arial" w:cs="Arial" w:eastAsia="Arial" w:hAnsi="Arial"/>
          <w:b w:val="false"/>
          <w:bCs w:val="false"/>
          <w:i/>
          <w:iCs/>
          <w:sz w:val="19"/>
          <w:szCs w:val="19"/>
        </w:rPr>
        <w:t xml:space="preserve">Nota: la base paleontológica completa de INGEMMET puede requerir solicitud formal. PBDB y GBIF permiten descarga inmediata. En este proyecto ya se descargó PBDB (~6 933 ocurrencias; ~667 localidades únicas por coordenadas exactas).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F5496"/>
          <w:sz w:val="22"/>
          <w:szCs w:val="22"/>
        </w:rPr>
        <w:t xml:space="preserve">15.2 Literatura metodológica clave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Anemone, Emerson &amp; Conroy — predicción de localidades fósiles (Evolutionary Anthropology).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Phillips, Anderson &amp; Schapire — MaxEnt (Ecological Modelling).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Roberts et al. — validación cruzada con estructura espacial (Ecography).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Sistema PFYC (Potential Fossil Yield Classification) del BLM (EE. UU.).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Bibliografía peruana de referencia: titanosaurios y espinosaurios de la cuenca de Bagua (MHN–UNMSM).</w:t>
      </w:r>
    </w:p>
    <w:p>
      <w:pPr>
        <w:spacing w:before="28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Documento de trabajo — versión 1.3</w:t>
      </w:r>
    </w:p>
    <w:p>
      <w:pPr>
        <w:spacing w:before="4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Implementación: R + RStudio  |  Teledetección: Google Earth Engine</w:t>
      </w:r>
    </w:p>
    <w:p>
      <w:pPr>
        <w:spacing w:before="4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Sujeto a revisión tras el censo de viabilidad (N efectivo de localidades independientes).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5"/>
        <w:szCs w:val="15"/>
      </w:rPr>
      <w:t xml:space="preserve">Pág. </w:t>
    </w:r>
    <w:r>
      <w:rPr>
        <w:rFonts w:ascii="Arial" w:cs="Arial" w:eastAsia="Arial" w:hAnsi="Arial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5"/>
        <w:szCs w:val="15"/>
      </w:rPr>
      <w:t xml:space="preserve"> | Documento de trabajo — R + RStudio | sujeto a revisión tras censo de viabilidad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Anteproyecto — Prospectividad paleontológica Perú |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yvps-uhvsdv8kaclqzkg" Type="http://schemas.openxmlformats.org/officeDocument/2006/relationships/hyperlink" Target="https://paleobiodb.org/" TargetMode="External"/><Relationship Id="rIdxsofnonfvv8buvbpbhiab" Type="http://schemas.openxmlformats.org/officeDocument/2006/relationships/hyperlink" Target="https://paleobiodb.org/classic/displayDownloadGenerator" TargetMode="External"/><Relationship Id="rIdj9dyo5z9ugvv7zmgbffyp" Type="http://schemas.openxmlformats.org/officeDocument/2006/relationships/hyperlink" Target="https://paleobiodb.org/data1.2/occs/list.csv?cc=PE&amp;show=coords,loc,strat,lith,class,ident&amp;limit=all" TargetMode="External"/><Relationship Id="rIdpkzu42g06gvle69cys4d-" Type="http://schemas.openxmlformats.org/officeDocument/2006/relationships/hyperlink" Target="https://www.gbif.org/occurrence/search?country=PE&amp;basis_of_record=FOSSIL_SPECIMEN" TargetMode="External"/><Relationship Id="rIdstupdowro7dvtgvvk3ha3" Type="http://schemas.openxmlformats.org/officeDocument/2006/relationships/hyperlink" Target="https://geocatminapp.ingemmet.gob.pe/fosilcgperu/" TargetMode="External"/><Relationship Id="rIdwisip8vlahhrn0qq4f-xt" Type="http://schemas.openxmlformats.org/officeDocument/2006/relationships/hyperlink" Target="https://www.gob.pe/15376" TargetMode="External"/><Relationship Id="rIdhapefad0i4dyrfhj2zrbk" Type="http://schemas.openxmlformats.org/officeDocument/2006/relationships/hyperlink" Target="https://geocatmin.ingemmet.gob.pe/" TargetMode="External"/><Relationship Id="rId2sbsrmbu7t8lcx3pk1xab" Type="http://schemas.openxmlformats.org/officeDocument/2006/relationships/hyperlink" Target="https://www.ingemmet.gob.pe/carta-geologica-nacional" TargetMode="External"/><Relationship Id="rId530byndex_4ohqurvrln5" Type="http://schemas.openxmlformats.org/officeDocument/2006/relationships/hyperlink" Target="https://code.earthengine.google.com/" TargetMode="External"/><Relationship Id="rId4ve_ttmrqjfv_3tcnxhlq" Type="http://schemas.openxmlformats.org/officeDocument/2006/relationships/hyperlink" Target="https://data.humdata.org/dataset/hotosm_per_roads" TargetMode="External"/><Relationship Id="rId66ylwnh0cce0f0t3jtnyv" Type="http://schemas.openxmlformats.org/officeDocument/2006/relationships/hyperlink" Target="https://www.idep.gob.pe/" TargetMode="External"/><Relationship Id="rIdpxka2oyrmdwcpscrsdshi" Type="http://schemas.openxmlformats.org/officeDocument/2006/relationships/hyperlink" Target="https://www.ana.gob.pe/" TargetMode="External"/><Relationship Id="rIdybvb6ew1myhy4xg02m0k3" Type="http://schemas.openxmlformats.org/officeDocument/2006/relationships/hyperlink" Target="https://portal.mtc.gob.pe/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2026-08-05T16:05:33.713Z</dcterms:created>
  <dcterms:modified xsi:type="dcterms:W3CDTF">2026-08-05T16:05:33.713Z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