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26"/>
          <w:szCs w:val="26"/>
        </w:rPr>
        <w:t xml:space="preserve">ANTEPROYECTO DE INVESTIGACIÓN</w:t>
      </w:r>
    </w:p>
    <w:p>
      <w:pPr>
        <w:spacing w:after="100"/>
        <w:jc w:val="center"/>
      </w:pPr>
      <w:r>
        <w:rPr>
          <w:rFonts w:ascii="Arial" w:cs="Arial" w:eastAsia="Arial" w:hAnsi="Arial"/>
          <w:b/>
          <w:bCs/>
          <w:sz w:val="22"/>
          <w:szCs w:val="22"/>
        </w:rPr>
        <w:t xml:space="preserve">Modelado predictivo de localidades fósiles del Perú mediante integración geológica, teledetección y aprendizaje automático</w:t>
      </w:r>
    </w:p>
    <w:p>
      <w:pPr>
        <w:spacing w:after="40"/>
        <w:jc w:val="center"/>
      </w:pPr>
      <w:r>
        <w:rPr>
          <w:rFonts w:ascii="Arial" w:cs="Arial" w:eastAsia="Arial" w:hAnsi="Arial"/>
          <w:i/>
          <w:iCs/>
          <w:color w:val="444444"/>
          <w:sz w:val="19"/>
          <w:szCs w:val="19"/>
        </w:rPr>
        <w:t xml:space="preserve">Inventario nacional de yacimientos y mapa de prospectividad paleontológica</w:t>
      </w:r>
    </w:p>
    <w:p>
      <w:pPr>
        <w:spacing w:after="30"/>
        <w:jc w:val="center"/>
      </w:pPr>
      <w:r>
        <w:rPr>
          <w:rFonts w:ascii="Arial" w:cs="Arial" w:eastAsia="Arial" w:hAnsi="Arial"/>
          <w:sz w:val="19"/>
          <w:szCs w:val="19"/>
        </w:rPr>
        <w:t xml:space="preserve">Área: Ingeniería Estadística e Informática  |  Ámbito: República del Perú</w:t>
      </w:r>
    </w:p>
    <w:p>
      <w:pPr>
        <w:spacing w:after="180"/>
        <w:jc w:val="center"/>
      </w:pPr>
      <w:r>
        <w:rPr>
          <w:rFonts w:ascii="Arial" w:cs="Arial" w:eastAsia="Arial" w:hAnsi="Arial"/>
          <w:color w:val="666666"/>
          <w:sz w:val="17"/>
          <w:szCs w:val="17"/>
        </w:rPr>
        <w:t>Documento de trabajo — versión 1.5  |  Implementación: R + RStudio</w:t>
      </w:r>
    </w:p>
    <w:p>
      <w:pPr>
        <w:pStyle w:val="Heading1"/>
        <w:spacing w:after="140" w:before="260"/>
      </w:pPr>
      <w:r>
        <w:rPr>
          <w:rFonts w:ascii="Arial" w:cs="Arial" w:eastAsia="Arial" w:hAnsi="Arial"/>
          <w:b/>
          <w:bCs/>
          <w:color w:val="1F4E79"/>
          <w:sz w:val="25"/>
          <w:szCs w:val="25"/>
        </w:rPr>
        <w:t xml:space="preserve">1. Resumen</w:t>
      </w:r>
    </w:p>
    <w:p>
      <w:pPr>
        <w:spacing w:after="100" w:before="0" w:line="270"/>
        <w:jc w:val="both"/>
      </w:pPr>
      <w:r>
        <w:rPr>
          <w:rFonts w:ascii="Arial" w:cs="Arial" w:eastAsia="Arial" w:hAnsi="Arial"/>
          <w:b w:val="false"/>
          <w:bCs w:val="false"/>
          <w:i w:val="false"/>
          <w:iCs w:val="false"/>
          <w:sz w:val="21"/>
          <w:szCs w:val="21"/>
        </w:rPr>
        <w:t>Este proyecto propone construir el primer inventario nacional georreferenciado de localidades fósiles del Perú y, a partir de él, un mapa de prospectividad paleontológica con incertidumbre cuantificada. La implementación completa se realiza en R mediante RStudio, integrando la Carta Geológica Nacional (INGEMMET), ocurrencias fósiles abiertas (PBDB, GBIF) y covariables de teledetección (Sentinel-2, DEM vía Google Earth Engine). El flujo combina un modelo base geológico obligatorio con modelos de distribución espacial (MaxEnt, Random Forest, Gradient Boosting), bajo control explícito del sesgo de muestreo y validación cruzada con bloqueo espacial. El presente documento detalla el paso a paso técnico necesario para reproducir el análisis y generar los productos del artículo científico. El censo de viabilidad se cerró el 18 de agosto de 2026 con un total de 666 localidades independientes (deduplicación a 2 km) a partir de 11 140 ocurrencias de PBDB y GBIF, cifra que sitúa el proyecto en el tramo N ≥ 80 y habilita la comparación completa entre el modelo base geológico, MaxEnt y los modelos de ensamble de árboles. El flujo se ejecutó por completo entre agosto de 2026: el modelo ganador (Gradient Boosting) alcanza un AUC de 0,859 bajo bloqueo espacial, frente a 0,752 del modelo base geológico, y el modelo estratificado al Mesozoico alcanza 0,834. Los productos incluyen el mapa de prospectividad con el sesgo de accesibilidad neutralizado, el mapa de incertidumbre y una priorización de 6 468 km² —el 0,50 % del territorio— para campañas de campo.</w:t>
      </w:r>
    </w:p>
    <w:p>
      <w:pPr>
        <w:pStyle w:val="Heading1"/>
        <w:spacing w:after="140" w:before="260"/>
      </w:pPr>
      <w:r>
        <w:rPr>
          <w:rFonts w:ascii="Arial" w:cs="Arial" w:eastAsia="Arial" w:hAnsi="Arial"/>
          <w:b/>
          <w:bCs/>
          <w:color w:val="1F4E79"/>
          <w:sz w:val="25"/>
          <w:szCs w:val="25"/>
        </w:rPr>
        <w:t xml:space="preserve">2. Planteamiento del problema</w:t>
      </w:r>
    </w:p>
    <w:p>
      <w:pPr>
        <w:spacing w:after="100" w:before="0" w:line="270"/>
        <w:jc w:val="both"/>
      </w:pPr>
      <w:r>
        <w:rPr>
          <w:rFonts w:ascii="Arial" w:cs="Arial" w:eastAsia="Arial" w:hAnsi="Arial"/>
          <w:b w:val="false"/>
          <w:bCs w:val="false"/>
          <w:i w:val="false"/>
          <w:iCs w:val="false"/>
          <w:sz w:val="21"/>
          <w:szCs w:val="21"/>
        </w:rPr>
        <w:t xml:space="preserve">El registro fósil peruano está severamente submuestreado y espacialmente sesgado. La evidencia de dinosaurios y otros vertebrados del Mesozoico se concentra en muy pocos puntos —notablemente la cuenca de Bagua (Amazonas), único lugar del país que ha proporcionado huesos y dientes, además de huellas documentadas en Áncash y Puno—, no porque el resto del territorio carezca de fósiles, sino porque las campañas de campo se han limitado a zonas accesibles y con financiamiento previo.</w:t>
      </w:r>
    </w:p>
    <w:p>
      <w:pPr>
        <w:spacing w:after="100" w:before="0" w:line="270"/>
        <w:jc w:val="both"/>
      </w:pPr>
      <w:r>
        <w:rPr>
          <w:rFonts w:ascii="Arial" w:cs="Arial" w:eastAsia="Arial" w:hAnsi="Arial"/>
          <w:b w:val="false"/>
          <w:bCs w:val="false"/>
          <w:i w:val="false"/>
          <w:iCs w:val="false"/>
          <w:sz w:val="21"/>
          <w:szCs w:val="21"/>
        </w:rPr>
        <w:t xml:space="preserve">Esto plantea un problema de doble naturaleza: no existe un inventario nacional sistemático y georreferenciado, y la prospección de nuevos yacimientos sigue guiándose por criterios informales y accesibilidad logística en lugar de un modelo cuantitativo.</w:t>
      </w:r>
    </w:p>
    <w:p>
      <w:pPr>
        <w:spacing w:after="100" w:before="0" w:line="270"/>
        <w:jc w:val="both"/>
      </w:pPr>
      <w:r>
        <w:rPr>
          <w:rFonts w:ascii="Arial" w:cs="Arial" w:eastAsia="Arial" w:hAnsi="Arial"/>
          <w:b/>
          <w:bCs/>
          <w:sz w:val="21"/>
          <w:szCs w:val="21"/>
        </w:rPr>
        <w:t xml:space="preserve">Pregunta central: </w:t>
      </w:r>
      <w:r>
        <w:rPr>
          <w:rFonts w:ascii="Arial" w:cs="Arial" w:eastAsia="Arial" w:hAnsi="Arial"/>
          <w:sz w:val="21"/>
          <w:szCs w:val="21"/>
        </w:rPr>
        <w:t xml:space="preserve">¿es posible estimar, a escala nacional y con incertidumbre cuantificada, la probabilidad relativa de ocurrencia de localidades fósiles en el territorio peruano a partir de variables geológicas y de teledetección, controlando el sesgo de muestreo histórico?</w:t>
      </w:r>
    </w:p>
    <w:p>
      <w:pPr>
        <w:pStyle w:val="Heading1"/>
        <w:spacing w:after="140" w:before="260"/>
      </w:pPr>
      <w:r>
        <w:rPr>
          <w:rFonts w:ascii="Arial" w:cs="Arial" w:eastAsia="Arial" w:hAnsi="Arial"/>
          <w:b/>
          <w:bCs/>
          <w:color w:val="1F4E79"/>
          <w:sz w:val="25"/>
          <w:szCs w:val="25"/>
        </w:rPr>
        <w:t xml:space="preserve">3. Justificación</w:t>
      </w:r>
    </w:p>
    <w:p>
      <w:pPr>
        <w:pStyle w:val="ListParagraph"/>
        <w:numPr>
          <w:ilvl w:val="0"/>
          <w:numId w:val="2"/>
        </w:numPr>
        <w:spacing w:after="70" w:line="270"/>
      </w:pPr>
      <w:r>
        <w:rPr>
          <w:rFonts w:ascii="Arial" w:cs="Arial" w:eastAsia="Arial" w:hAnsi="Arial"/>
          <w:sz w:val="21"/>
          <w:szCs w:val="21"/>
        </w:rPr>
        <w:t xml:space="preserve">Prioriza el esfuerzo de campo hacia zonas de mayor potencial.</w:t>
      </w:r>
    </w:p>
    <w:p>
      <w:pPr>
        <w:pStyle w:val="ListParagraph"/>
        <w:numPr>
          <w:ilvl w:val="0"/>
          <w:numId w:val="2"/>
        </w:numPr>
        <w:spacing w:after="70" w:line="270"/>
      </w:pPr>
      <w:r>
        <w:rPr>
          <w:rFonts w:ascii="Arial" w:cs="Arial" w:eastAsia="Arial" w:hAnsi="Arial"/>
          <w:sz w:val="21"/>
          <w:szCs w:val="21"/>
        </w:rPr>
        <w:t xml:space="preserve">Consolida el patrimonio paleontológico en un repositorio georreferenciado.</w:t>
      </w:r>
    </w:p>
    <w:p>
      <w:pPr>
        <w:pStyle w:val="ListParagraph"/>
        <w:numPr>
          <w:ilvl w:val="0"/>
          <w:numId w:val="2"/>
        </w:numPr>
        <w:spacing w:after="70" w:line="270"/>
      </w:pPr>
      <w:r>
        <w:rPr>
          <w:rFonts w:ascii="Arial" w:cs="Arial" w:eastAsia="Arial" w:hAnsi="Arial"/>
          <w:sz w:val="21"/>
          <w:szCs w:val="21"/>
        </w:rPr>
        <w:t xml:space="preserve">Aporta insumos para estudios de impacto ambiental en infraestructura y minería.</w:t>
      </w:r>
    </w:p>
    <w:p>
      <w:pPr>
        <w:pStyle w:val="ListParagraph"/>
        <w:numPr>
          <w:ilvl w:val="0"/>
          <w:numId w:val="2"/>
        </w:numPr>
        <w:spacing w:after="70" w:line="270"/>
      </w:pPr>
      <w:r>
        <w:rPr>
          <w:rFonts w:ascii="Arial" w:cs="Arial" w:eastAsia="Arial" w:hAnsi="Arial"/>
          <w:sz w:val="21"/>
          <w:szCs w:val="21"/>
        </w:rPr>
        <w:t xml:space="preserve">Ofrece un método reproducible y transferible a otras regiones andino-amazónicas.</w:t>
      </w:r>
    </w:p>
    <w:p>
      <w:pPr>
        <w:pStyle w:val="ListParagraph"/>
        <w:numPr>
          <w:ilvl w:val="0"/>
          <w:numId w:val="2"/>
        </w:numPr>
        <w:spacing w:after="70" w:line="270"/>
      </w:pPr>
      <w:r>
        <w:rPr>
          <w:rFonts w:ascii="Arial" w:cs="Arial" w:eastAsia="Arial" w:hAnsi="Arial"/>
          <w:sz w:val="21"/>
          <w:szCs w:val="21"/>
        </w:rPr>
        <w:t xml:space="preserve">Contrarresta con evidencia rigurosa la circulación de información falsa sobre el registro fósil.</w:t>
      </w:r>
    </w:p>
    <w:p>
      <w:pPr>
        <w:pStyle w:val="Heading1"/>
        <w:spacing w:after="140" w:before="260"/>
      </w:pPr>
      <w:r>
        <w:rPr>
          <w:rFonts w:ascii="Arial" w:cs="Arial" w:eastAsia="Arial" w:hAnsi="Arial"/>
          <w:b/>
          <w:bCs/>
          <w:color w:val="1F4E79"/>
          <w:sz w:val="25"/>
          <w:szCs w:val="25"/>
        </w:rPr>
        <w:t xml:space="preserve">4. Objetivos</w:t>
      </w:r>
    </w:p>
    <w:p>
      <w:pPr>
        <w:pStyle w:val="Heading2"/>
        <w:spacing w:after="100" w:before="200"/>
      </w:pPr>
      <w:r>
        <w:rPr>
          <w:rFonts w:ascii="Arial" w:cs="Arial" w:eastAsia="Arial" w:hAnsi="Arial"/>
          <w:b/>
          <w:bCs/>
          <w:color w:val="2F5496"/>
          <w:sz w:val="22"/>
          <w:szCs w:val="22"/>
        </w:rPr>
        <w:t xml:space="preserve">4.1 Objetivo general</w:t>
      </w:r>
    </w:p>
    <w:p>
      <w:pPr>
        <w:spacing w:after="100" w:before="0" w:line="270"/>
        <w:jc w:val="both"/>
      </w:pPr>
      <w:r>
        <w:rPr>
          <w:rFonts w:ascii="Arial" w:cs="Arial" w:eastAsia="Arial" w:hAnsi="Arial"/>
          <w:b w:val="false"/>
          <w:bCs w:val="false"/>
          <w:i w:val="false"/>
          <w:iCs w:val="false"/>
          <w:sz w:val="21"/>
          <w:szCs w:val="21"/>
        </w:rPr>
        <w:t xml:space="preserve">Desarrollar un inventario nacional georreferenciado de localidades fósiles del Perú y un mapa de prospectividad paleontológica con incertidumbre cuantificada, implementado íntegramente en R (RStudio), integrando información geológica, de teledetección y aprendizaje automático bajo validación robusta al sesgo espacial.</w:t>
      </w:r>
    </w:p>
    <w:p>
      <w:pPr>
        <w:pStyle w:val="Heading2"/>
        <w:spacing w:after="100" w:before="200"/>
      </w:pPr>
      <w:r>
        <w:rPr>
          <w:rFonts w:ascii="Arial" w:cs="Arial" w:eastAsia="Arial" w:hAnsi="Arial"/>
          <w:b/>
          <w:bCs/>
          <w:color w:val="2F5496"/>
          <w:sz w:val="22"/>
          <w:szCs w:val="22"/>
        </w:rPr>
        <w:t xml:space="preserve">4.2 Objetivos específicos</w:t>
      </w:r>
    </w:p>
    <w:p>
      <w:pPr>
        <w:pStyle w:val="ListParagraph"/>
        <w:numPr>
          <w:ilvl w:val="0"/>
          <w:numId w:val="3"/>
        </w:numPr>
        <w:spacing w:after="60" w:line="270"/>
      </w:pPr>
      <w:r>
        <w:rPr>
          <w:rFonts w:ascii="Arial" w:cs="Arial" w:eastAsia="Arial" w:hAnsi="Arial"/>
          <w:sz w:val="21"/>
          <w:szCs w:val="21"/>
        </w:rPr>
        <w:t xml:space="preserve">Consolidar en una base única, depurada y georreferenciada, las localidades fósiles conocidas (PBDB, GBIF, INGEMMET y literatura).</w:t>
      </w:r>
    </w:p>
    <w:p>
      <w:pPr>
        <w:pStyle w:val="ListParagraph"/>
        <w:numPr>
          <w:ilvl w:val="0"/>
          <w:numId w:val="3"/>
        </w:numPr>
        <w:spacing w:after="60" w:line="270"/>
      </w:pPr>
      <w:r>
        <w:rPr>
          <w:rFonts w:ascii="Arial" w:cs="Arial" w:eastAsia="Arial" w:hAnsi="Arial"/>
          <w:sz w:val="21"/>
          <w:szCs w:val="21"/>
        </w:rPr>
        <w:t xml:space="preserve">Determinar el número efectivo de localidades independientes (censo de viabilidad) y definir la familia de modelos defendible.</w:t>
      </w:r>
    </w:p>
    <w:p>
      <w:pPr>
        <w:pStyle w:val="ListParagraph"/>
        <w:numPr>
          <w:ilvl w:val="0"/>
          <w:numId w:val="3"/>
        </w:numPr>
        <w:spacing w:after="60" w:line="270"/>
      </w:pPr>
      <w:r>
        <w:rPr>
          <w:rFonts w:ascii="Arial" w:cs="Arial" w:eastAsia="Arial" w:hAnsi="Arial"/>
          <w:sz w:val="21"/>
          <w:szCs w:val="21"/>
        </w:rPr>
        <w:t xml:space="preserve">Construir el conjunto de covariables predictoras a resolución espacial común.</w:t>
      </w:r>
    </w:p>
    <w:p>
      <w:pPr>
        <w:pStyle w:val="ListParagraph"/>
        <w:numPr>
          <w:ilvl w:val="0"/>
          <w:numId w:val="3"/>
        </w:numPr>
        <w:spacing w:after="60" w:line="270"/>
      </w:pPr>
      <w:r>
        <w:rPr>
          <w:rFonts w:ascii="Arial" w:cs="Arial" w:eastAsia="Arial" w:hAnsi="Arial"/>
          <w:sz w:val="21"/>
          <w:szCs w:val="21"/>
        </w:rPr>
        <w:t xml:space="preserve">Establecer el modelo base de favorabilidad geológica como referencia empírica obligatoria.</w:t>
      </w:r>
    </w:p>
    <w:p>
      <w:pPr>
        <w:pStyle w:val="ListParagraph"/>
        <w:numPr>
          <w:ilvl w:val="0"/>
          <w:numId w:val="3"/>
        </w:numPr>
        <w:spacing w:after="60" w:line="270"/>
      </w:pPr>
      <w:r>
        <w:rPr>
          <w:rFonts w:ascii="Arial" w:cs="Arial" w:eastAsia="Arial" w:hAnsi="Arial"/>
          <w:sz w:val="21"/>
          <w:szCs w:val="21"/>
        </w:rPr>
        <w:t xml:space="preserve">Entrenar y comparar modelos de distribución espacial en RStudio con control de sesgo y validación por bloques espaciales.</w:t>
      </w:r>
    </w:p>
    <w:p>
      <w:pPr>
        <w:pStyle w:val="ListParagraph"/>
        <w:numPr>
          <w:ilvl w:val="0"/>
          <w:numId w:val="3"/>
        </w:numPr>
        <w:spacing w:after="60" w:line="270"/>
      </w:pPr>
      <w:r>
        <w:rPr>
          <w:rFonts w:ascii="Arial" w:cs="Arial" w:eastAsia="Arial" w:hAnsi="Arial"/>
          <w:sz w:val="21"/>
          <w:szCs w:val="21"/>
        </w:rPr>
        <w:t xml:space="preserve">Generar el mapa de prospectividad, el mapa de incertidumbre y las figuras del artículo científico.</w:t>
      </w:r>
    </w:p>
    <w:p>
      <w:pPr>
        <w:pStyle w:val="Heading1"/>
        <w:spacing w:after="140" w:before="260"/>
      </w:pPr>
      <w:r>
        <w:rPr>
          <w:rFonts w:ascii="Arial" w:cs="Arial" w:eastAsia="Arial" w:hAnsi="Arial"/>
          <w:b/>
          <w:bCs/>
          <w:color w:val="1F4E79"/>
          <w:sz w:val="25"/>
          <w:szCs w:val="25"/>
        </w:rPr>
        <w:t xml:space="preserve">5. Hipótesis</w:t>
      </w:r>
    </w:p>
    <w:p>
      <w:pPr>
        <w:spacing w:after="100" w:before="0" w:line="270"/>
        <w:jc w:val="both"/>
      </w:pPr>
      <w:r>
        <w:rPr>
          <w:rFonts w:ascii="Arial" w:cs="Arial" w:eastAsia="Arial" w:hAnsi="Arial"/>
          <w:b/>
          <w:bCs/>
          <w:sz w:val="21"/>
          <w:szCs w:val="21"/>
        </w:rPr>
        <w:t xml:space="preserve">H1. </w:t>
      </w:r>
      <w:r>
        <w:rPr>
          <w:rFonts w:ascii="Arial" w:cs="Arial" w:eastAsia="Arial" w:hAnsi="Arial"/>
          <w:sz w:val="21"/>
          <w:szCs w:val="21"/>
        </w:rPr>
        <w:t xml:space="preserve">La ocurrencia de localidades fósiles se explica principalmente por la formación geológica, su edad y su grado de exposición superficial.</w:t>
      </w:r>
    </w:p>
    <w:p>
      <w:pPr>
        <w:spacing w:after="100" w:before="0" w:line="270"/>
        <w:jc w:val="both"/>
      </w:pPr>
      <w:r>
        <w:rPr>
          <w:rFonts w:ascii="Arial" w:cs="Arial" w:eastAsia="Arial" w:hAnsi="Arial"/>
          <w:b/>
          <w:bCs/>
          <w:sz w:val="21"/>
          <w:szCs w:val="21"/>
        </w:rPr>
        <w:t xml:space="preserve">H2. </w:t>
      </w:r>
      <w:r>
        <w:rPr>
          <w:rFonts w:ascii="Arial" w:cs="Arial" w:eastAsia="Arial" w:hAnsi="Arial"/>
          <w:sz w:val="21"/>
          <w:szCs w:val="21"/>
        </w:rPr>
        <w:t xml:space="preserve">Un modelo de aprendizaje automático supera al modelo base geológico solo si se controla explícitamente el sesgo de accesibilidad.</w:t>
      </w:r>
    </w:p>
    <w:p>
      <w:pPr>
        <w:spacing w:after="100" w:before="0" w:line="270"/>
        <w:jc w:val="both"/>
      </w:pPr>
      <w:r>
        <w:rPr>
          <w:rFonts w:ascii="Arial" w:cs="Arial" w:eastAsia="Arial" w:hAnsi="Arial"/>
          <w:b/>
          <w:bCs/>
          <w:sz w:val="21"/>
          <w:szCs w:val="21"/>
        </w:rPr>
        <w:t xml:space="preserve">H3. </w:t>
      </w:r>
      <w:r>
        <w:rPr>
          <w:rFonts w:ascii="Arial" w:cs="Arial" w:eastAsia="Arial" w:hAnsi="Arial"/>
          <w:sz w:val="21"/>
          <w:szCs w:val="21"/>
        </w:rPr>
        <w:t xml:space="preserve">La validación cruzada aleatoria sobrestima el desempeño respecto a la validación con bloqueo espacial.</w:t>
      </w:r>
    </w:p>
    <w:p>
      <w:pPr>
        <w:pStyle w:val="Heading1"/>
        <w:spacing w:after="140" w:before="260"/>
      </w:pPr>
      <w:r>
        <w:rPr>
          <w:rFonts w:ascii="Arial" w:cs="Arial" w:eastAsia="Arial" w:hAnsi="Arial"/>
          <w:b/>
          <w:bCs/>
          <w:color w:val="1F4E79"/>
          <w:sz w:val="25"/>
          <w:szCs w:val="25"/>
        </w:rPr>
        <w:t xml:space="preserve">6. Marco conceptual</w:t>
      </w:r>
    </w:p>
    <w:p>
      <w:pPr>
        <w:spacing w:after="100" w:before="0" w:line="270"/>
        <w:jc w:val="both"/>
      </w:pPr>
      <w:r>
        <w:rPr>
          <w:rFonts w:ascii="Arial" w:cs="Arial" w:eastAsia="Arial" w:hAnsi="Arial"/>
          <w:b w:val="false"/>
          <w:bCs w:val="false"/>
          <w:i w:val="false"/>
          <w:iCs w:val="false"/>
          <w:sz w:val="21"/>
          <w:szCs w:val="21"/>
        </w:rPr>
        <w:t xml:space="preserve">El trabajo se inscribe en el modelado predictivo paleontológico, heredero del modelado de prospectividad mineral y de los modelos de distribución de especies (SDM). Un fósil solo aparece donde coinciden roca sedimentaria de la edad adecuada, ambiente de preservación favorable y exposición superficial. El predictor dominante es geológico. Los datos son presence-only y reflejan dónde se ha buscado, no necesariamente dónde existe el recurso; por ello el control del sesgo de muestreo es condición de validez.</w:t>
      </w:r>
    </w:p>
    <w:p>
      <w:pPr>
        <w:pStyle w:val="Heading1"/>
        <w:spacing w:after="140" w:before="260"/>
      </w:pPr>
      <w:r>
        <w:rPr>
          <w:rFonts w:ascii="Arial" w:cs="Arial" w:eastAsia="Arial" w:hAnsi="Arial"/>
          <w:b/>
          <w:bCs/>
          <w:color w:val="1F4E79"/>
          <w:sz w:val="25"/>
          <w:szCs w:val="25"/>
        </w:rPr>
        <w:t xml:space="preserve">7. Datos necesarios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2100"/>
        <w:gridCol w:w="3900"/>
        <w:gridCol w:w="4240"/>
      </w:tblGrid>
      <w:tr>
        <w:tc>
          <w:tcPr>
            <w:tcW w:type="dxa" w:w="2100"/>
            <w:tcBorders>
              <w:top w:val="single" w:color="2F5496" w:sz="1"/>
              <w:left w:val="single" w:color="2F5496" w:sz="1"/>
              <w:bottom w:val="single" w:color="2F5496" w:sz="1"/>
              <w:right w:val="single" w:color="2F5496" w:sz="1"/>
            </w:tcBorders>
            <w:shd w:fill="2F5496" w:val="clear"/>
            <w:tcMar>
              <w:top w:type="dxa" w:w="50"/>
              <w:left w:type="dxa" w:w="70"/>
              <w:bottom w:type="dxa" w:w="50"/>
              <w:right w:type="dxa" w:w="70"/>
            </w:tcMar>
          </w:tcPr>
          <w:p>
            <w:r>
              <w:rPr>
                <w:rFonts w:ascii="Arial" w:cs="Arial" w:eastAsia="Arial" w:hAnsi="Arial"/>
                <w:b/>
                <w:bCs/>
                <w:color w:val="FFFFFF"/>
                <w:sz w:val="17"/>
                <w:szCs w:val="17"/>
              </w:rPr>
              <w:t xml:space="preserve">Capa</w:t>
            </w:r>
          </w:p>
        </w:tc>
        <w:tc>
          <w:tcPr>
            <w:tcW w:type="dxa" w:w="3900"/>
            <w:tcBorders>
              <w:top w:val="single" w:color="2F5496" w:sz="1"/>
              <w:left w:val="single" w:color="2F5496" w:sz="1"/>
              <w:bottom w:val="single" w:color="2F5496" w:sz="1"/>
              <w:right w:val="single" w:color="2F5496" w:sz="1"/>
            </w:tcBorders>
            <w:shd w:fill="2F5496" w:val="clear"/>
            <w:tcMar>
              <w:top w:type="dxa" w:w="50"/>
              <w:left w:type="dxa" w:w="70"/>
              <w:bottom w:type="dxa" w:w="50"/>
              <w:right w:type="dxa" w:w="70"/>
            </w:tcMar>
          </w:tcPr>
          <w:p>
            <w:r>
              <w:rPr>
                <w:rFonts w:ascii="Arial" w:cs="Arial" w:eastAsia="Arial" w:hAnsi="Arial"/>
                <w:b/>
                <w:bCs/>
                <w:color w:val="FFFFFF"/>
                <w:sz w:val="17"/>
                <w:szCs w:val="17"/>
              </w:rPr>
              <w:t xml:space="preserve">Contenido</w:t>
            </w:r>
          </w:p>
        </w:tc>
        <w:tc>
          <w:tcPr>
            <w:tcW w:type="dxa" w:w="4240"/>
            <w:tcBorders>
              <w:top w:val="single" w:color="2F5496" w:sz="1"/>
              <w:left w:val="single" w:color="2F5496" w:sz="1"/>
              <w:bottom w:val="single" w:color="2F5496" w:sz="1"/>
              <w:right w:val="single" w:color="2F5496" w:sz="1"/>
            </w:tcBorders>
            <w:shd w:fill="2F5496" w:val="clear"/>
            <w:tcMar>
              <w:top w:type="dxa" w:w="50"/>
              <w:left w:type="dxa" w:w="70"/>
              <w:bottom w:type="dxa" w:w="50"/>
              <w:right w:type="dxa" w:w="70"/>
            </w:tcMar>
          </w:tcPr>
          <w:p>
            <w:r>
              <w:rPr>
                <w:rFonts w:ascii="Arial" w:cs="Arial" w:eastAsia="Arial" w:hAnsi="Arial"/>
                <w:b/>
                <w:bCs/>
                <w:color w:val="FFFFFF"/>
                <w:sz w:val="17"/>
                <w:szCs w:val="17"/>
              </w:rPr>
              <w:t xml:space="preserve">Fuente</w:t>
            </w:r>
          </w:p>
        </w:tc>
      </w:tr>
      <w:tr>
        <w:tc>
          <w:tcPr>
            <w:tcW w:type="dxa" w:w="21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 xml:space="preserve">Localidades fósiles</w:t>
            </w:r>
          </w:p>
        </w:tc>
        <w:tc>
          <w:tcPr>
            <w:tcW w:type="dxa" w:w="39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Presencias: coordenadas, taxón, edad, formación</w:t>
            </w:r>
          </w:p>
        </w:tc>
        <w:tc>
          <w:tcPr>
            <w:tcW w:type="dxa" w:w="42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PBDB, GBIF, INGEMMET, literatura</w:t>
            </w:r>
          </w:p>
        </w:tc>
      </w:tr>
      <w:tr>
        <w:tc>
          <w:tcPr>
            <w:tcW w:type="dxa" w:w="21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 xml:space="preserve">Geología</w:t>
            </w:r>
          </w:p>
        </w:tc>
        <w:tc>
          <w:tcPr>
            <w:tcW w:type="dxa" w:w="39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Unidad, litología, edad numérica (Ma) y ambiente sedimentario</w:t>
            </w:r>
          </w:p>
        </w:tc>
        <w:tc>
          <w:tcPr>
            <w:tcW w:type="dxa" w:w="42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Mapa Geológico Integrado 1:50 000 (INGEMMET, ago-2025) completado con la Carta Geológica 1:100 000; ambos vía API REST de GEOCATMIN</w:t>
            </w:r>
          </w:p>
        </w:tc>
      </w:tr>
      <w:tr>
        <w:tc>
          <w:tcPr>
            <w:tcW w:type="dxa" w:w="21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 xml:space="preserve">Exposición de roca</w:t>
            </w:r>
          </w:p>
        </w:tc>
        <w:tc>
          <w:tcPr>
            <w:tcW w:type="dxa" w:w="39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Índices de suelo desnudo / vegetación</w:t>
            </w:r>
          </w:p>
        </w:tc>
        <w:tc>
          <w:tcPr>
            <w:tcW w:type="dxa" w:w="42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Sentinel-2 (Google Earth Engine)</w:t>
            </w:r>
          </w:p>
        </w:tc>
      </w:tr>
      <w:tr>
        <w:tc>
          <w:tcPr>
            <w:tcW w:type="dxa" w:w="21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 xml:space="preserve">Relieve</w:t>
            </w:r>
          </w:p>
        </w:tc>
        <w:tc>
          <w:tcPr>
            <w:tcW w:type="dxa" w:w="39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Pendiente, curvatura, orientación</w:t>
            </w:r>
          </w:p>
        </w:tc>
        <w:tc>
          <w:tcPr>
            <w:tcW w:type="dxa" w:w="42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Copernicus DEM / SRTM (GEE)</w:t>
            </w:r>
          </w:p>
        </w:tc>
      </w:tr>
      <w:tr>
        <w:tc>
          <w:tcPr>
            <w:tcW w:type="dxa" w:w="21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 xml:space="preserve">Accesibilidad</w:t>
            </w:r>
          </w:p>
        </w:tc>
        <w:tc>
          <w:tcPr>
            <w:tcW w:type="dxa" w:w="39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Distancia a vías, centros urbanos, ríos</w:t>
            </w:r>
          </w:p>
        </w:tc>
        <w:tc>
          <w:tcPr>
            <w:tcW w:type="dxa" w:w="42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OSM, IGN, MTC, ANA</w:t>
            </w:r>
          </w:p>
        </w:tc>
      </w:tr>
      <w:tr>
        <w:tc>
          <w:tcPr>
            <w:tcW w:type="dxa" w:w="21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 xml:space="preserve">Máscara</w:t>
            </w:r>
          </w:p>
        </w:tc>
        <w:tc>
          <w:tcPr>
            <w:tcW w:type="dxa" w:w="39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Límite nacional, cuerpos de agua</w:t>
            </w:r>
          </w:p>
        </w:tc>
        <w:tc>
          <w:tcPr>
            <w:tcW w:type="dxa" w:w="42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IGN, ANA</w:t>
            </w:r>
          </w:p>
        </w:tc>
      </w:tr>
    </w:tbl>
    <w:p>
      <w:pPr>
        <w:pStyle w:val="Heading1"/>
        <w:spacing w:after="140" w:before="260"/>
      </w:pPr>
      <w:r>
        <w:rPr>
          <w:rFonts w:ascii="Arial" w:cs="Arial" w:eastAsia="Arial" w:hAnsi="Arial"/>
          <w:b/>
          <w:bCs/>
          <w:color w:val="1F4E79"/>
          <w:sz w:val="25"/>
          <w:szCs w:val="25"/>
        </w:rPr>
        <w:t xml:space="preserve">8. Metodología completa en R + RStudio (paso a paso)</w:t>
      </w:r>
    </w:p>
    <w:p>
      <w:pPr>
        <w:spacing w:after="100" w:before="0" w:line="270"/>
        <w:jc w:val="both"/>
      </w:pPr>
      <w:r>
        <w:rPr>
          <w:rFonts w:ascii="Arial" w:cs="Arial" w:eastAsia="Arial" w:hAnsi="Arial"/>
          <w:b w:val="false"/>
          <w:bCs w:val="false"/>
          <w:i w:val="false"/>
          <w:iCs w:val="false"/>
          <w:sz w:val="21"/>
          <w:szCs w:val="21"/>
        </w:rPr>
        <w:t xml:space="preserve">Toda la implementación se realiza en R mediante RStudio. El procesamiento de imágenes Sentinel-2 y DEM se ejecuta en Google Earth Engine y los rasters resultantes se importan a R. A continuación se describe el flujo operativo completo.</w:t>
      </w:r>
    </w:p>
    <w:p>
      <w:pPr>
        <w:pStyle w:val="Heading2"/>
        <w:spacing w:after="100" w:before="200"/>
      </w:pPr>
      <w:r>
        <w:rPr>
          <w:rFonts w:ascii="Arial" w:cs="Arial" w:eastAsia="Arial" w:hAnsi="Arial"/>
          <w:b/>
          <w:bCs/>
          <w:color w:val="2F5496"/>
          <w:sz w:val="22"/>
          <w:szCs w:val="22"/>
        </w:rPr>
        <w:t xml:space="preserve">8.1 Fase 0 — Censo de viabilidad e inventario</w:t>
      </w:r>
    </w:p>
    <w:p>
      <w:pPr>
        <w:pStyle w:val="ListParagraph"/>
        <w:numPr>
          <w:ilvl w:val="0"/>
          <w:numId w:val="4"/>
        </w:numPr>
        <w:spacing w:after="60" w:line="270"/>
      </w:pPr>
      <w:r>
        <w:rPr>
          <w:rFonts w:ascii="Arial" w:cs="Arial" w:eastAsia="Arial" w:hAnsi="Arial"/>
          <w:sz w:val="21"/>
          <w:szCs w:val="21"/>
        </w:rPr>
        <w:t xml:space="preserve">Descargar ocurrencias de PBDB (API o generador de descargas) filtradas por país = Perú.</w:t>
      </w:r>
    </w:p>
    <w:p>
      <w:pPr>
        <w:pStyle w:val="ListParagraph"/>
        <w:numPr>
          <w:ilvl w:val="0"/>
          <w:numId w:val="4"/>
        </w:numPr>
        <w:spacing w:after="60" w:line="270"/>
      </w:pPr>
      <w:r>
        <w:rPr>
          <w:rFonts w:ascii="Arial" w:cs="Arial" w:eastAsia="Arial" w:hAnsi="Arial"/>
          <w:sz w:val="21"/>
          <w:szCs w:val="21"/>
        </w:rPr>
        <w:t xml:space="preserve">Descargar ocurrencias de GBIF con basisOfRecord = FOSSIL_SPECIMEN y country = PE (requiere cuenta GBIF).</w:t>
      </w:r>
    </w:p>
    <w:p>
      <w:pPr>
        <w:pStyle w:val="ListParagraph"/>
        <w:numPr>
          <w:ilvl w:val="0"/>
          <w:numId w:val="4"/>
        </w:numPr>
        <w:spacing w:after="60" w:line="270"/>
      </w:pPr>
      <w:r>
        <w:rPr>
          <w:rFonts w:ascii="Arial" w:cs="Arial" w:eastAsia="Arial" w:hAnsi="Arial"/>
          <w:sz w:val="21"/>
          <w:szCs w:val="21"/>
        </w:rPr>
        <w:t xml:space="preserve">Incorporar registros de la base paleontológica de INGEMMET (catálogo virtual + solicitud formal si es necesario) y de la literatura publicada.</w:t>
      </w:r>
    </w:p>
    <w:p>
      <w:pPr>
        <w:pStyle w:val="ListParagraph"/>
        <w:numPr>
          <w:ilvl w:val="0"/>
          <w:numId w:val="4"/>
        </w:numPr>
        <w:spacing w:after="60" w:line="270"/>
      </w:pPr>
      <w:r>
        <w:rPr>
          <w:rFonts w:ascii="Arial" w:cs="Arial" w:eastAsia="Arial" w:hAnsi="Arial"/>
          <w:sz w:val="21"/>
          <w:szCs w:val="21"/>
        </w:rPr>
        <w:t xml:space="preserve">Unificar coordenadas, taxonomía, edad y formación en una sola tabla.</w:t>
      </w:r>
    </w:p>
    <w:p>
      <w:pPr>
        <w:pStyle w:val="ListParagraph"/>
        <w:numPr>
          <w:ilvl w:val="0"/>
          <w:numId w:val="4"/>
        </w:numPr>
        <w:spacing w:after="60" w:line="270"/>
      </w:pPr>
      <w:r>
        <w:rPr>
          <w:rFonts w:ascii="Arial" w:cs="Arial" w:eastAsia="Arial" w:hAnsi="Arial"/>
          <w:sz w:val="21"/>
          <w:szCs w:val="21"/>
        </w:rPr>
        <w:t>Filtrar puntos dentro de los límites oficiales del Perú (GADM nivel 0), ampliados con un buffer marino de 5 km para retener las localidades costeras cuya coordenada cae al oeste de la línea de costa.</w:t>
      </w:r>
    </w:p>
    <w:p>
      <w:pPr>
        <w:pStyle w:val="ListParagraph"/>
        <w:numPr>
          <w:ilvl w:val="0"/>
          <w:numId w:val="4"/>
        </w:numPr>
        <w:spacing w:after="60" w:line="270"/>
      </w:pPr>
      <w:r>
        <w:rPr>
          <w:rFonts w:ascii="Arial" w:cs="Arial" w:eastAsia="Arial" w:hAnsi="Arial"/>
          <w:sz w:val="21"/>
          <w:szCs w:val="21"/>
        </w:rPr>
        <w:t>Excluir explícitamente los sondeos oceánicos profundos (testigos de perforación a más de 100 km de la costa, que no constituyen afloramientos prospectables) y los errores de georreferencia detectables por distancia al territorio.</w:t>
      </w:r>
    </w:p>
    <w:p>
      <w:pPr>
        <w:pStyle w:val="ListParagraph"/>
        <w:numPr>
          <w:ilvl w:val="0"/>
          <w:numId w:val="2"/>
        </w:numPr>
        <w:spacing w:after="70" w:line="270"/>
      </w:pPr>
      <w:r>
        <w:rPr>
          <w:rFonts w:ascii="Arial" w:cs="Arial" w:eastAsia="Arial" w:hAnsi="Arial"/>
          <w:sz w:val="21"/>
          <w:szCs w:val="21"/>
        </w:rPr>
        <w:t>Deduplicar espacialmente por agrupamiento jerárquico (enlace completo) con umbrales de 1 km y 2 km para obtener el número efectivo de localidades independientes.</w:t>
      </w:r>
    </w:p>
    <w:p>
      <w:pPr>
        <w:pStyle w:val="ListParagraph"/>
        <w:numPr>
          <w:ilvl w:val="0"/>
          <w:numId w:val="4"/>
        </w:numPr>
        <w:spacing w:after="60" w:line="270"/>
      </w:pPr>
      <w:r>
        <w:rPr>
          <w:rFonts w:ascii="Arial" w:cs="Arial" w:eastAsia="Arial" w:hAnsi="Arial"/>
          <w:sz w:val="21"/>
          <w:szCs w:val="21"/>
        </w:rPr>
        <w:t>Reportar N con fecha de corte. Este valor decide la familia de modelos admisible.</w:t>
      </w:r>
    </w:p>
    <w:p>
      <w:pPr>
        <w:pStyle w:val="Heading2"/>
        <w:spacing w:after="100" w:before="200"/>
      </w:pPr>
      <w:r>
        <w:rPr>
          <w:rFonts w:ascii="Arial" w:cs="Arial" w:eastAsia="Arial" w:hAnsi="Arial"/>
          <w:b/>
          <w:bCs/>
          <w:color w:val="2F5496"/>
          <w:sz w:val="22"/>
          <w:szCs w:val="22"/>
        </w:rPr>
        <w:t>8.1.1 Resultado del censo (cierre: 18 de agosto de 2026)</w:t>
      </w:r>
    </w:p>
    <w:p>
      <w:r>
        <w:t>El censo se ejecutó sobre las descargas de PBDB (6 933 ocurrencias) y GBIF (4 465 ocurrencias con coordenadas). De las 876 ocurrencias que caían fuera del límite terrestre, 618 se recuperaron por hallarse a menos de 5 km del territorio —fósiles marinos costeros de las formaciones Pisco, Caballas y Talara— y 258 se descartaron de forma definitiva: testigos de perforación oceánica y errores de georreferencia manifiestos, entre ellos ocho ocurrencias situadas frente a la costa de Chile y una en la Antártida.</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4240"/>
      </w:tblGrid>
      <w:tr>
        <w:tc>
          <w:tcPr>
            <w:tcW w:type="dxa" w:w="1700"/>
            <w:tcBorders>
              <w:top w:val="single" w:color="2F5496" w:sz="1"/>
              <w:left w:val="single" w:color="2F5496" w:sz="1"/>
              <w:bottom w:val="single" w:color="2F5496" w:sz="1"/>
              <w:right w:val="single" w:color="2F5496" w:sz="1"/>
            </w:tcBorders>
            <w:shd w:fill="2F5496" w:val="clear"/>
            <w:tcMar>
              <w:top w:type="dxa" w:w="50"/>
              <w:left w:type="dxa" w:w="70"/>
              <w:bottom w:type="dxa" w:w="50"/>
              <w:right w:type="dxa" w:w="70"/>
            </w:tcMar>
          </w:tcPr>
          <w:p>
            <w:r>
              <w:rPr>
                <w:rFonts w:ascii="Arial" w:cs="Arial" w:eastAsia="Arial" w:hAnsi="Arial"/>
                <w:b/>
                <w:bCs/>
                <w:color w:val="FFFFFF"/>
                <w:sz w:val="17"/>
                <w:szCs w:val="17"/>
              </w:rPr>
              <w:t>Etapa del censo</w:t>
            </w:r>
          </w:p>
        </w:tc>
        <w:tc>
          <w:tcPr>
            <w:tcW w:type="dxa" w:w="4300"/>
            <w:tcBorders>
              <w:top w:val="single" w:color="2F5496" w:sz="1"/>
              <w:left w:val="single" w:color="2F5496" w:sz="1"/>
              <w:bottom w:val="single" w:color="2F5496" w:sz="1"/>
              <w:right w:val="single" w:color="2F5496" w:sz="1"/>
            </w:tcBorders>
            <w:shd w:fill="2F5496" w:val="clear"/>
            <w:tcMar>
              <w:top w:type="dxa" w:w="50"/>
              <w:left w:type="dxa" w:w="70"/>
              <w:bottom w:type="dxa" w:w="50"/>
              <w:right w:type="dxa" w:w="70"/>
            </w:tcMar>
          </w:tcPr>
          <w:p>
            <w:r>
              <w:rPr>
                <w:rFonts w:ascii="Arial" w:cs="Arial" w:eastAsia="Arial" w:hAnsi="Arial"/>
                <w:b/>
                <w:bCs/>
                <w:color w:val="FFFFFF"/>
                <w:sz w:val="17"/>
                <w:szCs w:val="17"/>
              </w:rPr>
              <w:t>Registros</w:t>
            </w:r>
          </w:p>
        </w:tc>
        <w:tc>
          <w:tcPr>
            <w:tcW w:type="dxa" w:w="4240"/>
            <w:tcBorders>
              <w:top w:val="single" w:color="2F5496" w:sz="1"/>
              <w:left w:val="single" w:color="2F5496" w:sz="1"/>
              <w:bottom w:val="single" w:color="2F5496" w:sz="1"/>
              <w:right w:val="single" w:color="2F5496" w:sz="1"/>
            </w:tcBorders>
            <w:shd w:fill="2F5496" w:val="clear"/>
            <w:tcMar>
              <w:top w:type="dxa" w:w="50"/>
              <w:left w:type="dxa" w:w="70"/>
              <w:bottom w:type="dxa" w:w="50"/>
              <w:right w:type="dxa" w:w="70"/>
            </w:tcMar>
          </w:tcPr>
          <w:p>
            <w:r>
              <w:rPr>
                <w:rFonts w:ascii="Arial" w:cs="Arial" w:eastAsia="Arial" w:hAnsi="Arial"/>
                <w:b/>
                <w:bCs/>
                <w:color w:val="FFFFFF"/>
                <w:sz w:val="17"/>
                <w:szCs w:val="17"/>
              </w:rPr>
              <w:t>Observación</w:t>
            </w:r>
          </w:p>
        </w:tc>
      </w:tr>
      <w:tr>
        <w:tc>
          <w:tcPr>
            <w:tcW w:type="dxa" w:w="17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Ocurrencias brutas (PBDB + GBIF)</w:t>
            </w:r>
          </w:p>
        </w:tc>
        <w:tc>
          <w:tcPr>
            <w:tcW w:type="dxa" w:w="43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11 398</w:t>
            </w:r>
          </w:p>
        </w:tc>
        <w:tc>
          <w:tcPr>
            <w:tcW w:type="dxa" w:w="42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Descarga del 18 de agosto de 2026</w:t>
            </w:r>
          </w:p>
        </w:tc>
      </w:tr>
      <w:tr>
        <w:tc>
          <w:tcPr>
            <w:tcW w:type="dxa" w:w="17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Dentro del territorio + buffer costero de 5 km</w:t>
            </w:r>
          </w:p>
        </w:tc>
        <w:tc>
          <w:tcPr>
            <w:tcW w:type="dxa" w:w="43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11 140</w:t>
            </w:r>
          </w:p>
        </w:tc>
        <w:tc>
          <w:tcPr>
            <w:tcW w:type="dxa" w:w="42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258 excluidas por criterio explícito</w:t>
            </w:r>
          </w:p>
        </w:tc>
      </w:tr>
      <w:tr>
        <w:tc>
          <w:tcPr>
            <w:tcW w:type="dxa" w:w="17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Coordenadas únicas</w:t>
            </w:r>
          </w:p>
        </w:tc>
        <w:tc>
          <w:tcPr>
            <w:tcW w:type="dxa" w:w="43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878</w:t>
            </w:r>
          </w:p>
        </w:tc>
        <w:tc>
          <w:tcPr>
            <w:tcW w:type="dxa" w:w="42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Alta redundancia por sitio de colecta</w:t>
            </w:r>
          </w:p>
        </w:tc>
      </w:tr>
      <w:tr>
        <w:tc>
          <w:tcPr>
            <w:tcW w:type="dxa" w:w="17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N efectivo — deduplicación a 1 km</w:t>
            </w:r>
          </w:p>
        </w:tc>
        <w:tc>
          <w:tcPr>
            <w:tcW w:type="dxa" w:w="43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769</w:t>
            </w:r>
          </w:p>
        </w:tc>
        <w:tc>
          <w:tcPr>
            <w:tcW w:type="dxa" w:w="42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Sensible a la precisión de la coordenada</w:t>
            </w:r>
          </w:p>
        </w:tc>
      </w:tr>
      <w:tr>
        <w:tc>
          <w:tcPr>
            <w:tcW w:type="dxa" w:w="17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N efectivo — deduplicación a 2 km</w:t>
            </w:r>
          </w:p>
        </w:tc>
        <w:tc>
          <w:tcPr>
            <w:tcW w:type="dxa" w:w="43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666</w:t>
            </w:r>
          </w:p>
        </w:tc>
        <w:tc>
          <w:tcPr>
            <w:tcW w:type="dxa" w:w="42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Valor adoptado para el diseño</w:t>
            </w:r>
          </w:p>
        </w:tc>
      </w:tr>
    </w:tbl>
    <w:p>
      <w:r>
        <w:t>El N efectivo se desglosa por era geológica, lo que permite decidir si el modelado se aborda de forma agregada o estratificada. El registro está dominado por invertebrados marinos del Cenozoico, de modo que un modelo único entrenado sobre el total aprendería principalmente la distribución de las formaciones cenozoicas costeras. El Mesozoico alcanza por sí solo el umbral de 80 localidades, por lo que se adopta un diseño de dos modelos: uno nacional agregado y uno estratificado al Mesozoico, que es el estrato de interés para el registro de vertebrados continentales.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4240"/>
      </w:tblGrid>
      <w:tr>
        <w:tc>
          <w:tcPr>
            <w:tcW w:type="dxa" w:w="1700"/>
            <w:tcBorders>
              <w:top w:val="single" w:color="2F5496" w:sz="1"/>
              <w:left w:val="single" w:color="2F5496" w:sz="1"/>
              <w:bottom w:val="single" w:color="2F5496" w:sz="1"/>
              <w:right w:val="single" w:color="2F5496" w:sz="1"/>
            </w:tcBorders>
            <w:shd w:fill="2F5496" w:val="clear"/>
            <w:tcMar>
              <w:top w:type="dxa" w:w="50"/>
              <w:left w:type="dxa" w:w="70"/>
              <w:bottom w:type="dxa" w:w="50"/>
              <w:right w:type="dxa" w:w="70"/>
            </w:tcMar>
          </w:tcPr>
          <w:p>
            <w:r>
              <w:rPr>
                <w:rFonts w:ascii="Arial" w:cs="Arial" w:eastAsia="Arial" w:hAnsi="Arial"/>
                <w:b/>
                <w:bCs/>
                <w:color w:val="FFFFFF"/>
                <w:sz w:val="17"/>
                <w:szCs w:val="17"/>
              </w:rPr>
              <w:t>Estrato</w:t>
            </w:r>
          </w:p>
        </w:tc>
        <w:tc>
          <w:tcPr>
            <w:tcW w:type="dxa" w:w="4300"/>
            <w:tcBorders>
              <w:top w:val="single" w:color="2F5496" w:sz="1"/>
              <w:left w:val="single" w:color="2F5496" w:sz="1"/>
              <w:bottom w:val="single" w:color="2F5496" w:sz="1"/>
              <w:right w:val="single" w:color="2F5496" w:sz="1"/>
            </w:tcBorders>
            <w:shd w:fill="2F5496" w:val="clear"/>
            <w:tcMar>
              <w:top w:type="dxa" w:w="50"/>
              <w:left w:type="dxa" w:w="70"/>
              <w:bottom w:type="dxa" w:w="50"/>
              <w:right w:type="dxa" w:w="70"/>
            </w:tcMar>
          </w:tcPr>
          <w:p>
            <w:r>
              <w:rPr>
                <w:rFonts w:ascii="Arial" w:cs="Arial" w:eastAsia="Arial" w:hAnsi="Arial"/>
                <w:b/>
                <w:bCs/>
                <w:color w:val="FFFFFF"/>
                <w:sz w:val="17"/>
                <w:szCs w:val="17"/>
              </w:rPr>
              <w:t>N efectivo (2 km)</w:t>
            </w:r>
          </w:p>
        </w:tc>
        <w:tc>
          <w:tcPr>
            <w:tcW w:type="dxa" w:w="4240"/>
            <w:tcBorders>
              <w:top w:val="single" w:color="2F5496" w:sz="1"/>
              <w:left w:val="single" w:color="2F5496" w:sz="1"/>
              <w:bottom w:val="single" w:color="2F5496" w:sz="1"/>
              <w:right w:val="single" w:color="2F5496" w:sz="1"/>
            </w:tcBorders>
            <w:shd w:fill="2F5496" w:val="clear"/>
            <w:tcMar>
              <w:top w:type="dxa" w:w="50"/>
              <w:left w:type="dxa" w:w="70"/>
              <w:bottom w:type="dxa" w:w="50"/>
              <w:right w:type="dxa" w:w="70"/>
            </w:tcMar>
          </w:tcPr>
          <w:p>
            <w:r>
              <w:rPr>
                <w:rFonts w:ascii="Arial" w:cs="Arial" w:eastAsia="Arial" w:hAnsi="Arial"/>
                <w:b/>
                <w:bCs/>
                <w:color w:val="FFFFFF"/>
                <w:sz w:val="17"/>
                <w:szCs w:val="17"/>
              </w:rPr>
              <w:t>Familia de modelos admisible</w:t>
            </w:r>
          </w:p>
        </w:tc>
      </w:tr>
      <w:tr>
        <w:tc>
          <w:tcPr>
            <w:tcW w:type="dxa" w:w="17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Cenozoico</w:t>
            </w:r>
          </w:p>
        </w:tc>
        <w:tc>
          <w:tcPr>
            <w:tcW w:type="dxa" w:w="43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325</w:t>
            </w:r>
          </w:p>
        </w:tc>
        <w:tc>
          <w:tcPr>
            <w:tcW w:type="dxa" w:w="42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MaxEnt + Random Forest + Gradient Boosting</w:t>
            </w:r>
          </w:p>
        </w:tc>
      </w:tr>
      <w:tr>
        <w:tc>
          <w:tcPr>
            <w:tcW w:type="dxa" w:w="17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Mesozoico</w:t>
            </w:r>
          </w:p>
        </w:tc>
        <w:tc>
          <w:tcPr>
            <w:tcW w:type="dxa" w:w="43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107</w:t>
            </w:r>
          </w:p>
        </w:tc>
        <w:tc>
          <w:tcPr>
            <w:tcW w:type="dxa" w:w="42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MaxEnt + Random Forest + Gradient Boosting (reportar con cautela)</w:t>
            </w:r>
          </w:p>
        </w:tc>
      </w:tr>
      <w:tr>
        <w:tc>
          <w:tcPr>
            <w:tcW w:type="dxa" w:w="17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Paleozoico</w:t>
            </w:r>
          </w:p>
        </w:tc>
        <w:tc>
          <w:tcPr>
            <w:tcW w:type="dxa" w:w="43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34</w:t>
            </w:r>
          </w:p>
        </w:tc>
        <w:tc>
          <w:tcPr>
            <w:tcW w:type="dxa" w:w="42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Solo favorabilidad geológica (WoE / logística)</w:t>
            </w:r>
          </w:p>
        </w:tc>
      </w:tr>
      <w:tr>
        <w:tc>
          <w:tcPr>
            <w:tcW w:type="dxa" w:w="17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Total nacional</w:t>
            </w:r>
          </w:p>
        </w:tc>
        <w:tc>
          <w:tcPr>
            <w:tcW w:type="dxa" w:w="43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666</w:t>
            </w:r>
          </w:p>
        </w:tc>
        <w:tc>
          <w:tcPr>
            <w:tcW w:type="dxa" w:w="42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Comparación completa de familias</w:t>
            </w:r>
          </w:p>
        </w:tc>
      </w:tr>
    </w:tbl>
    <w:p>
      <w:r>
        <w:t>Nota sobre la resolución: el metadato de precisión de PBDB indica que el 48 % de las coordenadas tiene precisión de segundos (≈ 30 m), el 21 % de minutos (≈ 1,8 km) y el 3,3 % de grados (≈ 111 km). Las coordenadas con precisión de grados se excluyen del entrenamiento. Dado que una quinta parte del conjunto tiene una incertidumbre posicional cercana a los 2 km, la unidad de análisis se fija en 2 km × 2 km en lugar de 1 km × 1 km, en coherencia con el umbral de deduplicación adoptado.</w:t>
      </w:r>
    </w:p>
    <w:p>
      <w:pPr>
        <w:pStyle w:val="Heading2"/>
        <w:spacing w:after="100" w:before="200"/>
      </w:pPr>
      <w:r>
        <w:rPr>
          <w:rFonts w:ascii="Arial" w:cs="Arial" w:eastAsia="Arial" w:hAnsi="Arial"/>
          <w:b/>
          <w:bCs/>
          <w:color w:val="2F5496"/>
          <w:sz w:val="22"/>
          <w:szCs w:val="22"/>
        </w:rPr>
        <w:t xml:space="preserve">8.2 Fase 1 — Unidad de análisis</w:t>
      </w:r>
    </w:p>
    <w:p>
      <w:pPr>
        <w:pStyle w:val="ListParagraph"/>
        <w:numPr>
          <w:ilvl w:val="0"/>
          <w:numId w:val="4"/>
        </w:numPr>
        <w:spacing w:after="60" w:line="270"/>
      </w:pPr>
      <w:r>
        <w:rPr>
          <w:rFonts w:ascii="Arial" w:cs="Arial" w:eastAsia="Arial" w:hAnsi="Arial"/>
          <w:sz w:val="21"/>
          <w:szCs w:val="21"/>
        </w:rPr>
        <w:t>Definir grilla regular de 2 km × 2 km sobre el territorio nacional, resolución justificada por la precisión posicional del inventario (véase 8.1.1).</w:t>
      </w:r>
    </w:p>
    <w:p>
      <w:pPr>
        <w:pStyle w:val="ListParagraph"/>
        <w:numPr>
          <w:ilvl w:val="0"/>
          <w:numId w:val="4"/>
        </w:numPr>
        <w:spacing w:after="60" w:line="270"/>
      </w:pPr>
      <w:r>
        <w:rPr>
          <w:rFonts w:ascii="Arial" w:cs="Arial" w:eastAsia="Arial" w:hAnsi="Arial"/>
          <w:sz w:val="21"/>
          <w:szCs w:val="21"/>
        </w:rPr>
        <w:t>Asignar a cada celda la variable respuesta: presencia (al menos una localidad) o fondo. Las localidades costeras recuperadas se proyectan (snap) a la celda terrestre más próxima dentro de un radio de 2 km; las que no encuentren celda válida se excluyen del entrenamiento y permanecen solo en el inventario.</w:t>
      </w:r>
    </w:p>
    <w:p>
      <w:pPr>
        <w:pStyle w:val="ListParagraph"/>
        <w:numPr>
          <w:ilvl w:val="0"/>
          <w:numId w:val="4"/>
        </w:numPr>
        <w:spacing w:after="60" w:line="270"/>
      </w:pPr>
      <w:r>
        <w:rPr>
          <w:rFonts w:ascii="Arial" w:cs="Arial" w:eastAsia="Arial" w:hAnsi="Arial"/>
          <w:sz w:val="21"/>
          <w:szCs w:val="21"/>
        </w:rPr>
        <w:t xml:space="preserve">Generar máscara de análisis (excluir cuerpos de agua y áreas sin cobertura de covariables).</w:t>
      </w:r>
    </w:p>
    <w:p>
      <w:pPr>
        <w:pStyle w:val="Heading2"/>
        <w:spacing w:after="100" w:before="200"/>
      </w:pPr>
      <w:r>
        <w:rPr>
          <w:rFonts w:ascii="Arial" w:cs="Arial" w:eastAsia="Arial" w:hAnsi="Arial"/>
          <w:b/>
          <w:bCs/>
          <w:color w:val="2F5496"/>
          <w:sz w:val="22"/>
          <w:szCs w:val="22"/>
        </w:rPr>
        <w:t xml:space="preserve">8.3 Fase 2 — Construcción de covariables</w:t>
      </w:r>
    </w:p>
    <w:p>
      <w:pPr>
        <w:pStyle w:val="ListParagraph"/>
        <w:numPr>
          <w:ilvl w:val="0"/>
          <w:numId w:val="4"/>
        </w:numPr>
        <w:spacing w:after="60" w:line="270"/>
      </w:pPr>
      <w:r>
        <w:rPr>
          <w:rFonts w:ascii="Arial" w:cs="Arial" w:eastAsia="Arial" w:hAnsi="Arial"/>
          <w:sz w:val="21"/>
          <w:szCs w:val="21"/>
        </w:rPr>
        <w:t xml:space="preserve">Importar shapefile de la Carta Geológica Nacional y rasterizar formación, litología y edad a la resolución de la grilla.</w:t>
      </w:r>
    </w:p>
    <w:p>
      <w:pPr>
        <w:pStyle w:val="ListParagraph"/>
        <w:numPr>
          <w:ilvl w:val="0"/>
          <w:numId w:val="4"/>
        </w:numPr>
        <w:spacing w:after="60" w:line="270"/>
      </w:pPr>
      <w:r>
        <w:rPr>
          <w:rFonts w:ascii="Arial" w:cs="Arial" w:eastAsia="Arial" w:hAnsi="Arial"/>
          <w:sz w:val="21"/>
          <w:szCs w:val="21"/>
        </w:rPr>
        <w:t>Pendiente: índices de exposición de roca (BSI, NDVI) a partir de Sentinel-2 en Google Earth Engine. Es la única covariable del diseño que no se ha podido construir, por requerir registro previo en Earth Engine.</w:t>
      </w:r>
    </w:p>
    <w:p>
      <w:pPr>
        <w:pStyle w:val="ListParagraph"/>
        <w:numPr>
          <w:ilvl w:val="0"/>
          <w:numId w:val="4"/>
        </w:numPr>
        <w:spacing w:after="60" w:line="270"/>
      </w:pPr>
      <w:r>
        <w:rPr>
          <w:rFonts w:ascii="Arial" w:cs="Arial" w:eastAsia="Arial" w:hAnsi="Arial"/>
          <w:sz w:val="21"/>
          <w:szCs w:val="21"/>
        </w:rPr>
        <w:t>Derivar pendiente, rugosidad (TRI) y orientación a partir del DEM SRTM obtenido con el paquete geodata, sin dependencia de Earth Engine.</w:t>
      </w:r>
    </w:p>
    <w:p>
      <w:pPr>
        <w:pStyle w:val="ListParagraph"/>
        <w:numPr>
          <w:ilvl w:val="0"/>
          <w:numId w:val="4"/>
        </w:numPr>
        <w:spacing w:after="60" w:line="270"/>
      </w:pPr>
      <w:r>
        <w:rPr>
          <w:rFonts w:ascii="Arial" w:cs="Arial" w:eastAsia="Arial" w:hAnsi="Arial"/>
          <w:sz w:val="21"/>
          <w:szCs w:val="21"/>
        </w:rPr>
        <w:t>Calcular distancias a red vial y centros poblados (OpenStreetMap) y a cursos de agua de orden mayor (HydroRIVERS), como covariables del sesgo de accesibilidad.</w:t>
      </w:r>
    </w:p>
    <w:p>
      <w:pPr>
        <w:pStyle w:val="ListParagraph"/>
        <w:numPr>
          <w:ilvl w:val="0"/>
          <w:numId w:val="4"/>
        </w:numPr>
        <w:spacing w:after="60" w:line="270"/>
      </w:pPr>
      <w:r>
        <w:rPr>
          <w:rFonts w:ascii="Arial" w:cs="Arial" w:eastAsia="Arial" w:hAnsi="Arial"/>
          <w:sz w:val="21"/>
          <w:szCs w:val="21"/>
        </w:rPr>
        <w:t xml:space="preserve">Alinear todas las capas a la misma extensión, resolución y sistema de referencia (recomendado WGS 84 / UTM o lat-long).</w:t>
      </w:r>
    </w:p>
    <w:p>
      <w:pPr>
        <w:pStyle w:val="Heading2"/>
        <w:spacing w:after="100" w:before="200"/>
      </w:pPr>
      <w:r>
        <w:rPr>
          <w:rFonts w:ascii="Arial" w:cs="Arial" w:eastAsia="Arial" w:hAnsi="Arial"/>
          <w:b/>
          <w:bCs/>
          <w:color w:val="2F5496"/>
          <w:sz w:val="22"/>
          <w:szCs w:val="22"/>
        </w:rPr>
        <w:t xml:space="preserve">8.4 Fase 3 — Modelo base geológico (obligatorio)</w:t>
      </w:r>
    </w:p>
    <w:p>
      <w:pPr>
        <w:pStyle w:val="ListParagraph"/>
        <w:numPr>
          <w:ilvl w:val="0"/>
          <w:numId w:val="4"/>
        </w:numPr>
        <w:spacing w:after="60" w:line="270"/>
      </w:pPr>
      <w:r>
        <w:rPr>
          <w:rFonts w:ascii="Arial" w:cs="Arial" w:eastAsia="Arial" w:hAnsi="Arial"/>
          <w:sz w:val="21"/>
          <w:szCs w:val="21"/>
        </w:rPr>
        <w:t xml:space="preserve">Calcular favorabilidad por formación geológica y edad mediante Pesos de Evidencia (Weights of Evidence) o regresión logística simple.</w:t>
      </w:r>
    </w:p>
    <w:p>
      <w:pPr>
        <w:pStyle w:val="ListParagraph"/>
        <w:numPr>
          <w:ilvl w:val="0"/>
          <w:numId w:val="4"/>
        </w:numPr>
        <w:spacing w:after="60" w:line="270"/>
      </w:pPr>
      <w:r>
        <w:rPr>
          <w:rFonts w:ascii="Arial" w:cs="Arial" w:eastAsia="Arial" w:hAnsi="Arial"/>
          <w:sz w:val="21"/>
          <w:szCs w:val="21"/>
        </w:rPr>
        <w:t xml:space="preserve">Evaluar el modelo base con validación cruzada por bloques espaciales.</w:t>
      </w:r>
    </w:p>
    <w:p>
      <w:pPr>
        <w:pStyle w:val="ListParagraph"/>
        <w:numPr>
          <w:ilvl w:val="0"/>
          <w:numId w:val="4"/>
        </w:numPr>
        <w:spacing w:after="60" w:line="270"/>
      </w:pPr>
      <w:r>
        <w:rPr>
          <w:rFonts w:ascii="Arial" w:cs="Arial" w:eastAsia="Arial" w:hAnsi="Arial"/>
          <w:sz w:val="21"/>
          <w:szCs w:val="21"/>
        </w:rPr>
        <w:t xml:space="preserve">Conservar este resultado como línea base empírica. Ningún modelo posterior se acepta si no lo supera de forma clara.</w:t>
      </w:r>
    </w:p>
    <w:p>
      <w:pPr>
        <w:pStyle w:val="Heading2"/>
        <w:spacing w:after="100" w:before="200"/>
      </w:pPr>
      <w:r>
        <w:rPr>
          <w:rFonts w:ascii="Arial" w:cs="Arial" w:eastAsia="Arial" w:hAnsi="Arial"/>
          <w:b/>
          <w:bCs/>
          <w:color w:val="2F5496"/>
          <w:sz w:val="22"/>
          <w:szCs w:val="22"/>
        </w:rPr>
        <w:t xml:space="preserve">8.5 Fase 4 — Generación de background y entrenamiento</w:t>
      </w:r>
    </w:p>
    <w:p>
      <w:pPr>
        <w:pStyle w:val="ListParagraph"/>
        <w:numPr>
          <w:ilvl w:val="0"/>
          <w:numId w:val="4"/>
        </w:numPr>
        <w:spacing w:after="60" w:line="270"/>
      </w:pPr>
      <w:r>
        <w:rPr>
          <w:rFonts w:ascii="Arial" w:cs="Arial" w:eastAsia="Arial" w:hAnsi="Arial"/>
          <w:sz w:val="21"/>
          <w:szCs w:val="21"/>
        </w:rPr>
        <w:t xml:space="preserve">Generar puntos de fondo con el método target-group background (replicar el sesgo espacial de las presencias).</w:t>
      </w:r>
    </w:p>
    <w:p>
      <w:pPr>
        <w:pStyle w:val="ListParagraph"/>
        <w:numPr>
          <w:ilvl w:val="0"/>
          <w:numId w:val="4"/>
        </w:numPr>
        <w:spacing w:after="60" w:line="270"/>
      </w:pPr>
      <w:r>
        <w:rPr>
          <w:rFonts w:ascii="Arial" w:cs="Arial" w:eastAsia="Arial" w:hAnsi="Arial"/>
          <w:sz w:val="21"/>
          <w:szCs w:val="21"/>
        </w:rPr>
        <w:t xml:space="preserve">Incluir las covariables de accesibilidad para modelar explícitamente el sesgo de muestreo.</w:t>
      </w:r>
    </w:p>
    <w:p>
      <w:pPr>
        <w:pStyle w:val="ListParagraph"/>
        <w:numPr>
          <w:ilvl w:val="0"/>
          <w:numId w:val="4"/>
        </w:numPr>
        <w:spacing w:after="60" w:line="270"/>
      </w:pPr>
      <w:r>
        <w:rPr>
          <w:rFonts w:ascii="Arial" w:cs="Arial" w:eastAsia="Arial" w:hAnsi="Arial"/>
          <w:sz w:val="21"/>
          <w:szCs w:val="21"/>
        </w:rPr>
        <w:t xml:space="preserve">Definir bloques espaciales con el paquete blockCV (o equivalente).</w:t>
      </w:r>
    </w:p>
    <w:p>
      <w:pPr>
        <w:pStyle w:val="ListParagraph"/>
        <w:numPr>
          <w:ilvl w:val="0"/>
          <w:numId w:val="4"/>
        </w:numPr>
        <w:spacing w:after="60" w:line="270"/>
      </w:pPr>
      <w:r>
        <w:rPr>
          <w:rFonts w:ascii="Arial" w:cs="Arial" w:eastAsia="Arial" w:hAnsi="Arial"/>
          <w:sz w:val="21"/>
          <w:szCs w:val="21"/>
        </w:rPr>
        <w:t xml:space="preserve">Entrenar los modelos candidatos según el N obtenido (ver Sección 9).</w:t>
      </w:r>
    </w:p>
    <w:p>
      <w:pPr>
        <w:pStyle w:val="ListParagraph"/>
        <w:numPr>
          <w:ilvl w:val="0"/>
          <w:numId w:val="4"/>
        </w:numPr>
        <w:spacing w:after="60" w:line="270"/>
      </w:pPr>
      <w:r>
        <w:rPr>
          <w:rFonts w:ascii="Arial" w:cs="Arial" w:eastAsia="Arial" w:hAnsi="Arial"/>
          <w:sz w:val="21"/>
          <w:szCs w:val="21"/>
        </w:rPr>
        <w:t xml:space="preserve">Evaluar todos los modelos con las mismas métricas bajo bloqueo espacial (AUC, TSS, Boyce Index).</w:t>
      </w:r>
    </w:p>
    <w:p>
      <w:pPr>
        <w:pStyle w:val="ListParagraph"/>
        <w:numPr>
          <w:ilvl w:val="0"/>
          <w:numId w:val="4"/>
        </w:numPr>
        <w:spacing w:after="60" w:line="270"/>
      </w:pPr>
      <w:r>
        <w:rPr>
          <w:rFonts w:ascii="Arial" w:cs="Arial" w:eastAsia="Arial" w:hAnsi="Arial"/>
          <w:sz w:val="21"/>
          <w:szCs w:val="21"/>
        </w:rPr>
        <w:t xml:space="preserve">Seleccionar el modelo final solo si supera al modelo base geológico y a MaxEnt.</w:t>
      </w:r>
    </w:p>
    <w:p>
      <w:pPr>
        <w:pStyle w:val="Heading2"/>
        <w:spacing w:after="100" w:before="200"/>
      </w:pPr>
      <w:r>
        <w:rPr>
          <w:rFonts w:ascii="Arial" w:cs="Arial" w:eastAsia="Arial" w:hAnsi="Arial"/>
          <w:b/>
          <w:bCs/>
          <w:color w:val="2F5496"/>
          <w:sz w:val="22"/>
          <w:szCs w:val="22"/>
        </w:rPr>
        <w:t xml:space="preserve">8.6 Fase 5 — Predicción, incertidumbre y productos del artículo</w:t>
      </w:r>
    </w:p>
    <w:p>
      <w:pPr>
        <w:pStyle w:val="ListParagraph"/>
        <w:numPr>
          <w:ilvl w:val="0"/>
          <w:numId w:val="4"/>
        </w:numPr>
        <w:spacing w:after="60" w:line="270"/>
      </w:pPr>
      <w:r>
        <w:rPr>
          <w:rFonts w:ascii="Arial" w:cs="Arial" w:eastAsia="Arial" w:hAnsi="Arial"/>
          <w:sz w:val="21"/>
          <w:szCs w:val="21"/>
        </w:rPr>
        <w:t xml:space="preserve">Generar el mapa de prospectividad (probabilidad relativa) sobre toda la grilla nacional.</w:t>
      </w:r>
    </w:p>
    <w:p>
      <w:pPr>
        <w:pStyle w:val="ListParagraph"/>
        <w:numPr>
          <w:ilvl w:val="0"/>
          <w:numId w:val="4"/>
        </w:numPr>
        <w:spacing w:after="60" w:line="270"/>
      </w:pPr>
      <w:r>
        <w:rPr>
          <w:rFonts w:ascii="Arial" w:cs="Arial" w:eastAsia="Arial" w:hAnsi="Arial"/>
          <w:sz w:val="21"/>
          <w:szCs w:val="21"/>
        </w:rPr>
        <w:t xml:space="preserve">Calcular el mapa de incertidumbre (desviación entre pliegues de la validación espacial o bootstrap).</w:t>
      </w:r>
    </w:p>
    <w:p>
      <w:pPr>
        <w:pStyle w:val="ListParagraph"/>
        <w:numPr>
          <w:ilvl w:val="0"/>
          <w:numId w:val="4"/>
        </w:numPr>
        <w:spacing w:after="60" w:line="270"/>
      </w:pPr>
      <w:r>
        <w:rPr>
          <w:rFonts w:ascii="Arial" w:cs="Arial" w:eastAsia="Arial" w:hAnsi="Arial"/>
          <w:sz w:val="21"/>
          <w:szCs w:val="21"/>
        </w:rPr>
        <w:t xml:space="preserve">Validar con un conjunto de localidades geográficamente independientes (si se dispone de ellas).</w:t>
      </w:r>
    </w:p>
    <w:p>
      <w:pPr>
        <w:pStyle w:val="ListParagraph"/>
        <w:numPr>
          <w:ilvl w:val="0"/>
          <w:numId w:val="4"/>
        </w:numPr>
        <w:spacing w:after="60" w:line="270"/>
      </w:pPr>
      <w:r>
        <w:rPr>
          <w:rFonts w:ascii="Arial" w:cs="Arial" w:eastAsia="Arial" w:hAnsi="Arial"/>
          <w:sz w:val="21"/>
          <w:szCs w:val="21"/>
        </w:rPr>
        <w:t xml:space="preserve">Producir las figuras y tablas del artículo científico (ver Sección 12).</w:t>
      </w:r>
    </w:p>
    <w:p>
      <w:pPr>
        <w:pStyle w:val="ListParagraph"/>
        <w:numPr>
          <w:ilvl w:val="0"/>
          <w:numId w:val="4"/>
        </w:numPr>
        <w:spacing w:after="60" w:line="270"/>
      </w:pPr>
      <w:r>
        <w:rPr>
          <w:rFonts w:ascii="Arial" w:cs="Arial" w:eastAsia="Arial" w:hAnsi="Arial"/>
          <w:sz w:val="21"/>
          <w:szCs w:val="21"/>
        </w:rPr>
        <w:t xml:space="preserve">Documentar el repositorio reproducible (código + renv + datos procesados).</w:t>
      </w:r>
    </w:p>
    <w:p>
      <w:pPr>
        <w:pStyle w:val="Heading1"/>
        <w:spacing w:after="140" w:before="260"/>
      </w:pPr>
      <w:r>
        <w:rPr>
          <w:rFonts w:ascii="Arial" w:cs="Arial" w:eastAsia="Arial" w:hAnsi="Arial"/>
          <w:b/>
          <w:bCs/>
          <w:color w:val="1F4E79"/>
          <w:sz w:val="25"/>
          <w:szCs w:val="25"/>
        </w:rPr>
        <w:t xml:space="preserve">9. Modelos y estrategia de entrenamiento</w:t>
      </w:r>
    </w:p>
    <w:p>
      <w:pPr>
        <w:spacing w:after="100" w:before="0" w:line="270"/>
        <w:jc w:val="both"/>
      </w:pPr>
      <w:r>
        <w:rPr>
          <w:rFonts w:ascii="Arial" w:cs="Arial" w:eastAsia="Arial" w:hAnsi="Arial"/>
          <w:b w:val="false"/>
          <w:bCs w:val="false"/>
          <w:i w:val="false"/>
          <w:iCs w:val="false"/>
          <w:sz w:val="21"/>
          <w:szCs w:val="21"/>
        </w:rPr>
        <w:t>Principio rector: línea base empírica antes de aprendizaje automático. La familia de modelos depende del N efectivo tras el censo de viabilidad. Con el censo cerrado (N = 666 a escala nacional; 107 en el estrato mesozoico), el proyecto se sitúa en la tercera fila de la tabla siguiente, de modo que la comparación entre MaxEnt, Random Forest y Gradient Boosting queda plenamente justificada, siempre bajo bloqueo espacial y con control explícito del sesgo de accesibilidad.</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4240"/>
      </w:tblGrid>
      <w:tr>
        <w:tc>
          <w:tcPr>
            <w:tcW w:type="dxa" w:w="1700"/>
            <w:tcBorders>
              <w:top w:val="single" w:color="2F5496" w:sz="1"/>
              <w:left w:val="single" w:color="2F5496" w:sz="1"/>
              <w:bottom w:val="single" w:color="2F5496" w:sz="1"/>
              <w:right w:val="single" w:color="2F5496" w:sz="1"/>
            </w:tcBorders>
            <w:shd w:fill="2F5496" w:val="clear"/>
            <w:tcMar>
              <w:top w:type="dxa" w:w="50"/>
              <w:left w:type="dxa" w:w="70"/>
              <w:bottom w:type="dxa" w:w="50"/>
              <w:right w:type="dxa" w:w="70"/>
            </w:tcMar>
          </w:tcPr>
          <w:p>
            <w:r>
              <w:rPr>
                <w:rFonts w:ascii="Arial" w:cs="Arial" w:eastAsia="Arial" w:hAnsi="Arial"/>
                <w:b/>
                <w:bCs/>
                <w:color w:val="FFFFFF"/>
                <w:sz w:val="17"/>
                <w:szCs w:val="17"/>
              </w:rPr>
              <w:t xml:space="preserve">N localidades</w:t>
            </w:r>
          </w:p>
        </w:tc>
        <w:tc>
          <w:tcPr>
            <w:tcW w:type="dxa" w:w="4300"/>
            <w:tcBorders>
              <w:top w:val="single" w:color="2F5496" w:sz="1"/>
              <w:left w:val="single" w:color="2F5496" w:sz="1"/>
              <w:bottom w:val="single" w:color="2F5496" w:sz="1"/>
              <w:right w:val="single" w:color="2F5496" w:sz="1"/>
            </w:tcBorders>
            <w:shd w:fill="2F5496" w:val="clear"/>
            <w:tcMar>
              <w:top w:type="dxa" w:w="50"/>
              <w:left w:type="dxa" w:w="70"/>
              <w:bottom w:type="dxa" w:w="50"/>
              <w:right w:type="dxa" w:w="70"/>
            </w:tcMar>
          </w:tcPr>
          <w:p>
            <w:r>
              <w:rPr>
                <w:rFonts w:ascii="Arial" w:cs="Arial" w:eastAsia="Arial" w:hAnsi="Arial"/>
                <w:b/>
                <w:bCs/>
                <w:color w:val="FFFFFF"/>
                <w:sz w:val="17"/>
                <w:szCs w:val="17"/>
              </w:rPr>
              <w:t xml:space="preserve">Modelos defendibles</w:t>
            </w:r>
          </w:p>
        </w:tc>
        <w:tc>
          <w:tcPr>
            <w:tcW w:type="dxa" w:w="4240"/>
            <w:tcBorders>
              <w:top w:val="single" w:color="2F5496" w:sz="1"/>
              <w:left w:val="single" w:color="2F5496" w:sz="1"/>
              <w:bottom w:val="single" w:color="2F5496" w:sz="1"/>
              <w:right w:val="single" w:color="2F5496" w:sz="1"/>
            </w:tcBorders>
            <w:shd w:fill="2F5496" w:val="clear"/>
            <w:tcMar>
              <w:top w:type="dxa" w:w="50"/>
              <w:left w:type="dxa" w:w="70"/>
              <w:bottom w:type="dxa" w:w="50"/>
              <w:right w:type="dxa" w:w="70"/>
            </w:tcMar>
          </w:tcPr>
          <w:p>
            <w:r>
              <w:rPr>
                <w:rFonts w:ascii="Arial" w:cs="Arial" w:eastAsia="Arial" w:hAnsi="Arial"/>
                <w:b/>
                <w:bCs/>
                <w:color w:val="FFFFFF"/>
                <w:sz w:val="17"/>
                <w:szCs w:val="17"/>
              </w:rPr>
              <w:t xml:space="preserve">Nota</w:t>
            </w:r>
          </w:p>
        </w:tc>
      </w:tr>
      <w:tr>
        <w:tc>
          <w:tcPr>
            <w:tcW w:type="dxa" w:w="17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 xml:space="preserve">N &lt; 30</w:t>
            </w:r>
          </w:p>
        </w:tc>
        <w:tc>
          <w:tcPr>
            <w:tcW w:type="dxa" w:w="43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Inventario + favorabilidad geológica (WoE / logística)</w:t>
            </w:r>
          </w:p>
        </w:tc>
        <w:tc>
          <w:tcPr>
            <w:tcW w:type="dxa" w:w="42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No se justifica ML complejo</w:t>
            </w:r>
          </w:p>
        </w:tc>
      </w:tr>
      <w:tr>
        <w:tc>
          <w:tcPr>
            <w:tcW w:type="dxa" w:w="17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 xml:space="preserve">30 ≤ N &lt; 80</w:t>
            </w:r>
          </w:p>
        </w:tc>
        <w:tc>
          <w:tcPr>
            <w:tcW w:type="dxa" w:w="43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Modelo base + MaxEnt (regularización fuerte)</w:t>
            </w:r>
          </w:p>
        </w:tc>
        <w:tc>
          <w:tcPr>
            <w:tcW w:type="dxa" w:w="42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Reportar con cautela</w:t>
            </w:r>
          </w:p>
        </w:tc>
      </w:tr>
      <w:tr>
        <w:tc>
          <w:tcPr>
            <w:tcW w:type="dxa" w:w="17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 xml:space="preserve">N ≥ 80</w:t>
            </w:r>
          </w:p>
        </w:tc>
        <w:tc>
          <w:tcPr>
            <w:tcW w:type="dxa" w:w="43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MaxEnt + Random Forest + Gradient Boosting (XGBoost / LightGBM / CatBoost)</w:t>
            </w:r>
          </w:p>
        </w:tc>
        <w:tc>
          <w:tcPr>
            <w:tcW w:type="dxa" w:w="42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Siempre con bloqueo espacial y control de sesgo</w:t>
            </w:r>
          </w:p>
        </w:tc>
      </w:tr>
    </w:tbl>
    <w:p>
      <w:pPr>
        <w:pStyle w:val="Heading2"/>
        <w:spacing w:after="100" w:before="200"/>
      </w:pPr>
      <w:r>
        <w:rPr>
          <w:rFonts w:ascii="Arial" w:cs="Arial" w:eastAsia="Arial" w:hAnsi="Arial"/>
          <w:b/>
          <w:bCs/>
          <w:color w:val="2F5496"/>
          <w:sz w:val="22"/>
          <w:szCs w:val="22"/>
        </w:rPr>
        <w:t xml:space="preserve">9.1 Paquetes principales en R</w:t>
      </w:r>
    </w:p>
    <w:p>
      <w:pPr>
        <w:pStyle w:val="ListParagraph"/>
        <w:numPr>
          <w:ilvl w:val="0"/>
          <w:numId w:val="2"/>
        </w:numPr>
        <w:spacing w:after="70" w:line="270"/>
      </w:pPr>
      <w:r>
        <w:rPr>
          <w:rFonts w:ascii="Arial" w:cs="Arial" w:eastAsia="Arial" w:hAnsi="Arial"/>
          <w:b/>
          <w:bCs/>
          <w:sz w:val="21"/>
          <w:szCs w:val="21"/>
        </w:rPr>
        <w:t xml:space="preserve">Datos espaciales: </w:t>
      </w:r>
      <w:r>
        <w:rPr>
          <w:rFonts w:ascii="Arial" w:cs="Arial" w:eastAsia="Arial" w:hAnsi="Arial"/>
          <w:sz w:val="21"/>
          <w:szCs w:val="21"/>
        </w:rPr>
        <w:t xml:space="preserve">terra, sf, stars.</w:t>
      </w:r>
    </w:p>
    <w:p>
      <w:pPr>
        <w:pStyle w:val="ListParagraph"/>
        <w:numPr>
          <w:ilvl w:val="0"/>
          <w:numId w:val="2"/>
        </w:numPr>
        <w:spacing w:after="70" w:line="270"/>
      </w:pPr>
      <w:r>
        <w:rPr>
          <w:rFonts w:ascii="Arial" w:cs="Arial" w:eastAsia="Arial" w:hAnsi="Arial"/>
          <w:b/>
          <w:bCs/>
          <w:sz w:val="21"/>
          <w:szCs w:val="21"/>
        </w:rPr>
        <w:t xml:space="preserve">Modelo base: </w:t>
      </w:r>
      <w:r>
        <w:rPr>
          <w:rFonts w:ascii="Arial" w:cs="Arial" w:eastAsia="Arial" w:hAnsi="Arial"/>
          <w:sz w:val="21"/>
          <w:szCs w:val="21"/>
        </w:rPr>
        <w:t xml:space="preserve">stats / glmnet; implementación de Pesos de Evidencia.</w:t>
      </w:r>
    </w:p>
    <w:p>
      <w:pPr>
        <w:pStyle w:val="ListParagraph"/>
        <w:numPr>
          <w:ilvl w:val="0"/>
          <w:numId w:val="2"/>
        </w:numPr>
        <w:spacing w:after="70" w:line="270"/>
      </w:pPr>
      <w:r>
        <w:rPr>
          <w:rFonts w:ascii="Arial" w:cs="Arial" w:eastAsia="Arial" w:hAnsi="Arial"/>
          <w:b/>
          <w:bCs/>
          <w:sz w:val="21"/>
          <w:szCs w:val="21"/>
        </w:rPr>
        <w:t xml:space="preserve">MaxEnt: </w:t>
      </w:r>
      <w:r>
        <w:rPr>
          <w:rFonts w:ascii="Arial" w:cs="Arial" w:eastAsia="Arial" w:hAnsi="Arial"/>
          <w:sz w:val="21"/>
          <w:szCs w:val="21"/>
        </w:rPr>
        <w:t xml:space="preserve">maxnet (preferido), dismo.</w:t>
      </w:r>
    </w:p>
    <w:p>
      <w:pPr>
        <w:pStyle w:val="ListParagraph"/>
        <w:numPr>
          <w:ilvl w:val="0"/>
          <w:numId w:val="2"/>
        </w:numPr>
        <w:spacing w:after="70" w:line="270"/>
      </w:pPr>
      <w:r>
        <w:rPr>
          <w:rFonts w:ascii="Arial" w:cs="Arial" w:eastAsia="Arial" w:hAnsi="Arial"/>
          <w:b/>
          <w:bCs/>
          <w:sz w:val="21"/>
          <w:szCs w:val="21"/>
        </w:rPr>
        <w:t xml:space="preserve">Machine learning: </w:t>
      </w:r>
      <w:r>
        <w:rPr>
          <w:rFonts w:ascii="Arial" w:cs="Arial" w:eastAsia="Arial" w:hAnsi="Arial"/>
          <w:sz w:val="21"/>
          <w:szCs w:val="21"/>
        </w:rPr>
        <w:t xml:space="preserve">ranger (Random Forest), xgboost, lightgbm, catboost.</w:t>
      </w:r>
    </w:p>
    <w:p>
      <w:pPr>
        <w:pStyle w:val="ListParagraph"/>
        <w:numPr>
          <w:ilvl w:val="0"/>
          <w:numId w:val="2"/>
        </w:numPr>
        <w:spacing w:after="70" w:line="270"/>
      </w:pPr>
      <w:r>
        <w:rPr>
          <w:rFonts w:ascii="Arial" w:cs="Arial" w:eastAsia="Arial" w:hAnsi="Arial"/>
          <w:b/>
          <w:bCs/>
          <w:sz w:val="21"/>
          <w:szCs w:val="21"/>
        </w:rPr>
        <w:t xml:space="preserve">Validación espacial: </w:t>
      </w:r>
      <w:r>
        <w:rPr>
          <w:rFonts w:ascii="Arial" w:cs="Arial" w:eastAsia="Arial" w:hAnsi="Arial"/>
          <w:sz w:val="21"/>
          <w:szCs w:val="21"/>
        </w:rPr>
        <w:t xml:space="preserve">blockCV, spatialsample, CAST.</w:t>
      </w:r>
    </w:p>
    <w:p>
      <w:pPr>
        <w:pStyle w:val="ListParagraph"/>
        <w:numPr>
          <w:ilvl w:val="0"/>
          <w:numId w:val="2"/>
        </w:numPr>
        <w:spacing w:after="70" w:line="270"/>
      </w:pPr>
      <w:r>
        <w:rPr>
          <w:rFonts w:ascii="Arial" w:cs="Arial" w:eastAsia="Arial" w:hAnsi="Arial"/>
          <w:b/>
          <w:bCs/>
          <w:sz w:val="21"/>
          <w:szCs w:val="21"/>
        </w:rPr>
        <w:t xml:space="preserve">SDM auxiliares: </w:t>
      </w:r>
      <w:r>
        <w:rPr>
          <w:rFonts w:ascii="Arial" w:cs="Arial" w:eastAsia="Arial" w:hAnsi="Arial"/>
          <w:sz w:val="21"/>
          <w:szCs w:val="21"/>
        </w:rPr>
        <w:t xml:space="preserve">flexsdm o biomod2 (opcional).</w:t>
      </w:r>
    </w:p>
    <w:p>
      <w:pPr>
        <w:pStyle w:val="ListParagraph"/>
        <w:numPr>
          <w:ilvl w:val="0"/>
          <w:numId w:val="2"/>
        </w:numPr>
        <w:spacing w:after="70" w:line="270"/>
      </w:pPr>
      <w:r>
        <w:rPr>
          <w:rFonts w:ascii="Arial" w:cs="Arial" w:eastAsia="Arial" w:hAnsi="Arial"/>
          <w:b/>
          <w:bCs/>
          <w:sz w:val="21"/>
          <w:szCs w:val="21"/>
        </w:rPr>
        <w:t xml:space="preserve">Visualización: </w:t>
      </w:r>
      <w:r>
        <w:rPr>
          <w:rFonts w:ascii="Arial" w:cs="Arial" w:eastAsia="Arial" w:hAnsi="Arial"/>
          <w:sz w:val="21"/>
          <w:szCs w:val="21"/>
        </w:rPr>
        <w:t xml:space="preserve">ggplot2, tmap, terra.</w:t>
      </w:r>
    </w:p>
    <w:p>
      <w:pPr>
        <w:pStyle w:val="ListParagraph"/>
        <w:numPr>
          <w:ilvl w:val="0"/>
          <w:numId w:val="2"/>
        </w:numPr>
        <w:spacing w:after="70" w:line="270"/>
      </w:pPr>
      <w:r>
        <w:rPr>
          <w:rFonts w:ascii="Arial" w:cs="Arial" w:eastAsia="Arial" w:hAnsi="Arial"/>
          <w:b/>
          <w:bCs/>
          <w:sz w:val="21"/>
          <w:szCs w:val="21"/>
        </w:rPr>
        <w:t xml:space="preserve">Reproducibilidad: </w:t>
      </w:r>
      <w:r>
        <w:rPr>
          <w:rFonts w:ascii="Arial" w:cs="Arial" w:eastAsia="Arial" w:hAnsi="Arial"/>
          <w:sz w:val="21"/>
          <w:szCs w:val="21"/>
        </w:rPr>
        <w:t xml:space="preserve">renv, git.</w:t>
      </w:r>
    </w:p>
    <w:p>
      <w:pPr>
        <w:pStyle w:val="Heading2"/>
        <w:spacing w:after="100" w:before="200"/>
      </w:pPr>
      <w:r>
        <w:rPr>
          <w:rFonts w:ascii="Arial" w:cs="Arial" w:eastAsia="Arial" w:hAnsi="Arial"/>
          <w:b/>
          <w:bCs/>
          <w:color w:val="2F5496"/>
          <w:sz w:val="22"/>
          <w:szCs w:val="22"/>
        </w:rPr>
        <w:t xml:space="preserve">9.2 Reglas de entrenamiento</w:t>
      </w:r>
    </w:p>
    <w:p>
      <w:pPr>
        <w:pStyle w:val="ListParagraph"/>
        <w:numPr>
          <w:ilvl w:val="0"/>
          <w:numId w:val="2"/>
        </w:numPr>
        <w:spacing w:after="70" w:line="270"/>
      </w:pPr>
      <w:r>
        <w:rPr>
          <w:rFonts w:ascii="Arial" w:cs="Arial" w:eastAsia="Arial" w:hAnsi="Arial"/>
          <w:sz w:val="21"/>
          <w:szCs w:val="21"/>
        </w:rPr>
        <w:t xml:space="preserve">Fondo con sesgo replicado (target-group background).</w:t>
      </w:r>
    </w:p>
    <w:p>
      <w:pPr>
        <w:pStyle w:val="ListParagraph"/>
        <w:numPr>
          <w:ilvl w:val="0"/>
          <w:numId w:val="2"/>
        </w:numPr>
        <w:spacing w:after="70" w:line="270"/>
      </w:pPr>
      <w:r>
        <w:rPr>
          <w:rFonts w:ascii="Arial" w:cs="Arial" w:eastAsia="Arial" w:hAnsi="Arial"/>
          <w:sz w:val="21"/>
          <w:szCs w:val="21"/>
        </w:rPr>
        <w:t xml:space="preserve">Incluir covariables de accesibilidad para aislar el efecto del sesgo de muestreo.</w:t>
      </w:r>
    </w:p>
    <w:p>
      <w:pPr>
        <w:pStyle w:val="ListParagraph"/>
        <w:numPr>
          <w:ilvl w:val="0"/>
          <w:numId w:val="2"/>
        </w:numPr>
        <w:spacing w:after="70" w:line="270"/>
      </w:pPr>
      <w:r>
        <w:rPr>
          <w:rFonts w:ascii="Arial" w:cs="Arial" w:eastAsia="Arial" w:hAnsi="Arial"/>
          <w:sz w:val="21"/>
          <w:szCs w:val="21"/>
        </w:rPr>
        <w:t xml:space="preserve">Validación cruzada exclusivamente con bloqueo espacial (nunca k-fold aleatorio).</w:t>
      </w:r>
    </w:p>
    <w:p>
      <w:pPr>
        <w:pStyle w:val="ListParagraph"/>
        <w:numPr>
          <w:ilvl w:val="0"/>
          <w:numId w:val="2"/>
        </w:numPr>
        <w:spacing w:after="70" w:line="270"/>
      </w:pPr>
      <w:r>
        <w:rPr>
          <w:rFonts w:ascii="Arial" w:cs="Arial" w:eastAsia="Arial" w:hAnsi="Arial"/>
          <w:sz w:val="21"/>
          <w:szCs w:val="21"/>
        </w:rPr>
        <w:t xml:space="preserve">Reportar AUC, TSS y Boyce Index solo bajo bloques de validación.</w:t>
      </w:r>
    </w:p>
    <w:p>
      <w:pPr>
        <w:pStyle w:val="ListParagraph"/>
        <w:numPr>
          <w:ilvl w:val="0"/>
          <w:numId w:val="2"/>
        </w:numPr>
        <w:spacing w:after="70" w:line="270"/>
      </w:pPr>
      <w:r>
        <w:rPr>
          <w:rFonts w:ascii="Arial" w:cs="Arial" w:eastAsia="Arial" w:hAnsi="Arial"/>
          <w:sz w:val="21"/>
          <w:szCs w:val="21"/>
        </w:rPr>
        <w:t xml:space="preserve">Acompañar siempre el mapa de probabilidad con un mapa de incertidumbre.</w:t>
      </w:r>
    </w:p>
    <w:p>
      <w:pPr>
        <w:pStyle w:val="Heading2"/>
        <w:spacing w:after="100" w:before="200"/>
      </w:pPr>
      <w:r>
        <w:rPr>
          <w:rFonts w:ascii="Arial" w:cs="Arial" w:eastAsia="Arial" w:hAnsi="Arial"/>
          <w:b/>
          <w:bCs/>
          <w:color w:val="2F5496"/>
          <w:sz w:val="22"/>
          <w:szCs w:val="22"/>
        </w:rPr>
        <w:t>9.3 Resultados obtenidos (corte: 20 de agosto de 2026)</w:t>
      </w:r>
    </w:p>
    <w:p>
      <w:r>
        <w:t>El flujo completo se ejecutó sobre 323 084 celdas terrestres de 2 km, de las cuales 710 registran al menos una localidad fósil (prevalencia de 0,22 %). La cobertura geológica final alcanza el 99,8 % del territorio en unidad, el 84,8 % en edad numérica y el 64,8 % en ambiente sedimentario. Todos los modelos se evaluaron sobre los mismos 172 bloques espaciales de 100 km repartidos en cinco pliegues.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4240"/>
      </w:tblGrid>
      <w:tr>
        <w:tc>
          <w:tcPr>
            <w:tcW w:type="dxa" w:w="1700"/>
            <w:tcBorders>
              <w:top w:val="single" w:color="2F5496" w:sz="1"/>
              <w:left w:val="single" w:color="2F5496" w:sz="1"/>
              <w:bottom w:val="single" w:color="2F5496" w:sz="1"/>
              <w:right w:val="single" w:color="2F5496" w:sz="1"/>
            </w:tcBorders>
            <w:shd w:fill="2F5496" w:val="clear"/>
            <w:tcMar>
              <w:top w:type="dxa" w:w="50"/>
              <w:left w:type="dxa" w:w="70"/>
              <w:bottom w:type="dxa" w:w="50"/>
              <w:right w:type="dxa" w:w="70"/>
            </w:tcMar>
          </w:tcPr>
          <w:p>
            <w:r>
              <w:rPr>
                <w:rFonts w:ascii="Arial" w:cs="Arial" w:eastAsia="Arial" w:hAnsi="Arial"/>
                <w:b/>
                <w:bCs/>
                <w:color w:val="FFFFFF"/>
                <w:sz w:val="17"/>
                <w:szCs w:val="17"/>
              </w:rPr>
              <w:t>Modelo (diseño nacional)</w:t>
            </w:r>
          </w:p>
        </w:tc>
        <w:tc>
          <w:tcPr>
            <w:tcW w:type="dxa" w:w="4300"/>
            <w:tcBorders>
              <w:top w:val="single" w:color="2F5496" w:sz="1"/>
              <w:left w:val="single" w:color="2F5496" w:sz="1"/>
              <w:bottom w:val="single" w:color="2F5496" w:sz="1"/>
              <w:right w:val="single" w:color="2F5496" w:sz="1"/>
            </w:tcBorders>
            <w:shd w:fill="2F5496" w:val="clear"/>
            <w:tcMar>
              <w:top w:type="dxa" w:w="50"/>
              <w:left w:type="dxa" w:w="70"/>
              <w:bottom w:type="dxa" w:w="50"/>
              <w:right w:type="dxa" w:w="70"/>
            </w:tcMar>
          </w:tcPr>
          <w:p>
            <w:r>
              <w:rPr>
                <w:rFonts w:ascii="Arial" w:cs="Arial" w:eastAsia="Arial" w:hAnsi="Arial"/>
                <w:b/>
                <w:bCs/>
                <w:color w:val="FFFFFF"/>
                <w:sz w:val="17"/>
                <w:szCs w:val="17"/>
              </w:rPr>
              <w:t>AUC</w:t>
            </w:r>
          </w:p>
        </w:tc>
        <w:tc>
          <w:tcPr>
            <w:tcW w:type="dxa" w:w="4240"/>
            <w:tcBorders>
              <w:top w:val="single" w:color="2F5496" w:sz="1"/>
              <w:left w:val="single" w:color="2F5496" w:sz="1"/>
              <w:bottom w:val="single" w:color="2F5496" w:sz="1"/>
              <w:right w:val="single" w:color="2F5496" w:sz="1"/>
            </w:tcBorders>
            <w:shd w:fill="2F5496" w:val="clear"/>
            <w:tcMar>
              <w:top w:type="dxa" w:w="50"/>
              <w:left w:type="dxa" w:w="70"/>
              <w:bottom w:type="dxa" w:w="50"/>
              <w:right w:type="dxa" w:w="70"/>
            </w:tcMar>
          </w:tcPr>
          <w:p>
            <w:r>
              <w:rPr>
                <w:rFonts w:ascii="Arial" w:cs="Arial" w:eastAsia="Arial" w:hAnsi="Arial"/>
                <w:b/>
                <w:bCs/>
                <w:color w:val="FFFFFF"/>
                <w:sz w:val="17"/>
                <w:szCs w:val="17"/>
              </w:rPr>
              <w:t>TSS</w:t>
            </w:r>
          </w:p>
        </w:tc>
      </w:tr>
      <w:tr>
        <w:tc>
          <w:tcPr>
            <w:tcW w:type="dxa" w:w="17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Gradient Boosting</w:t>
            </w:r>
          </w:p>
        </w:tc>
        <w:tc>
          <w:tcPr>
            <w:tcW w:type="dxa" w:w="43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0,859 ± 0,052</w:t>
            </w:r>
          </w:p>
        </w:tc>
        <w:tc>
          <w:tcPr>
            <w:tcW w:type="dxa" w:w="42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0,597</w:t>
            </w:r>
          </w:p>
        </w:tc>
      </w:tr>
      <w:tr>
        <w:tc>
          <w:tcPr>
            <w:tcW w:type="dxa" w:w="17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Random Forest</w:t>
            </w:r>
          </w:p>
        </w:tc>
        <w:tc>
          <w:tcPr>
            <w:tcW w:type="dxa" w:w="43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0,850 ± 0,048</w:t>
            </w:r>
          </w:p>
        </w:tc>
        <w:tc>
          <w:tcPr>
            <w:tcW w:type="dxa" w:w="42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0,574</w:t>
            </w:r>
          </w:p>
        </w:tc>
      </w:tr>
      <w:tr>
        <w:tc>
          <w:tcPr>
            <w:tcW w:type="dxa" w:w="17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MaxEnt</w:t>
            </w:r>
          </w:p>
        </w:tc>
        <w:tc>
          <w:tcPr>
            <w:tcW w:type="dxa" w:w="43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0,829 ± 0,061</w:t>
            </w:r>
          </w:p>
        </w:tc>
        <w:tc>
          <w:tcPr>
            <w:tcW w:type="dxa" w:w="42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0,521</w:t>
            </w:r>
          </w:p>
        </w:tc>
      </w:tr>
      <w:tr>
        <w:tc>
          <w:tcPr>
            <w:tcW w:type="dxa" w:w="17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Modelo base geológico</w:t>
            </w:r>
          </w:p>
        </w:tc>
        <w:tc>
          <w:tcPr>
            <w:tcW w:type="dxa" w:w="43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0,752 ± 0,056</w:t>
            </w:r>
          </w:p>
        </w:tc>
        <w:tc>
          <w:tcPr>
            <w:tcW w:type="dxa" w:w="42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0,418</w:t>
            </w:r>
          </w:p>
        </w:tc>
      </w:tr>
    </w:tbl>
    <w:p>
      <w:r>
        <w:t>El modelo estratificado al Mesozoico se entrenó con target-group background: las localidades fósiles de otras edades actúan como fondo, de modo que el contraste se establece contra el esfuerzo de colecta realmente ejercido y no contra el territorio entero. Con solo 117 celdas de presencia, el desempeño se mantiene alto.</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4240"/>
      </w:tblGrid>
      <w:tr>
        <w:tc>
          <w:tcPr>
            <w:tcW w:type="dxa" w:w="1700"/>
            <w:tcBorders>
              <w:top w:val="single" w:color="2F5496" w:sz="1"/>
              <w:left w:val="single" w:color="2F5496" w:sz="1"/>
              <w:bottom w:val="single" w:color="2F5496" w:sz="1"/>
              <w:right w:val="single" w:color="2F5496" w:sz="1"/>
            </w:tcBorders>
            <w:shd w:fill="2F5496" w:val="clear"/>
            <w:tcMar>
              <w:top w:type="dxa" w:w="50"/>
              <w:left w:type="dxa" w:w="70"/>
              <w:bottom w:type="dxa" w:w="50"/>
              <w:right w:type="dxa" w:w="70"/>
            </w:tcMar>
          </w:tcPr>
          <w:p>
            <w:r>
              <w:rPr>
                <w:rFonts w:ascii="Arial" w:cs="Arial" w:eastAsia="Arial" w:hAnsi="Arial"/>
                <w:b/>
                <w:bCs/>
                <w:color w:val="FFFFFF"/>
                <w:sz w:val="17"/>
                <w:szCs w:val="17"/>
              </w:rPr>
              <w:t>Modelo (estrato mesozoico)</w:t>
            </w:r>
          </w:p>
        </w:tc>
        <w:tc>
          <w:tcPr>
            <w:tcW w:type="dxa" w:w="4300"/>
            <w:tcBorders>
              <w:top w:val="single" w:color="2F5496" w:sz="1"/>
              <w:left w:val="single" w:color="2F5496" w:sz="1"/>
              <w:bottom w:val="single" w:color="2F5496" w:sz="1"/>
              <w:right w:val="single" w:color="2F5496" w:sz="1"/>
            </w:tcBorders>
            <w:shd w:fill="2F5496" w:val="clear"/>
            <w:tcMar>
              <w:top w:type="dxa" w:w="50"/>
              <w:left w:type="dxa" w:w="70"/>
              <w:bottom w:type="dxa" w:w="50"/>
              <w:right w:type="dxa" w:w="70"/>
            </w:tcMar>
          </w:tcPr>
          <w:p>
            <w:r>
              <w:rPr>
                <w:rFonts w:ascii="Arial" w:cs="Arial" w:eastAsia="Arial" w:hAnsi="Arial"/>
                <w:b/>
                <w:bCs/>
                <w:color w:val="FFFFFF"/>
                <w:sz w:val="17"/>
                <w:szCs w:val="17"/>
              </w:rPr>
              <w:t>AUC</w:t>
            </w:r>
          </w:p>
        </w:tc>
        <w:tc>
          <w:tcPr>
            <w:tcW w:type="dxa" w:w="4240"/>
            <w:tcBorders>
              <w:top w:val="single" w:color="2F5496" w:sz="1"/>
              <w:left w:val="single" w:color="2F5496" w:sz="1"/>
              <w:bottom w:val="single" w:color="2F5496" w:sz="1"/>
              <w:right w:val="single" w:color="2F5496" w:sz="1"/>
            </w:tcBorders>
            <w:shd w:fill="2F5496" w:val="clear"/>
            <w:tcMar>
              <w:top w:type="dxa" w:w="50"/>
              <w:left w:type="dxa" w:w="70"/>
              <w:bottom w:type="dxa" w:w="50"/>
              <w:right w:type="dxa" w:w="70"/>
            </w:tcMar>
          </w:tcPr>
          <w:p>
            <w:r>
              <w:rPr>
                <w:rFonts w:ascii="Arial" w:cs="Arial" w:eastAsia="Arial" w:hAnsi="Arial"/>
                <w:b/>
                <w:bCs/>
                <w:color w:val="FFFFFF"/>
                <w:sz w:val="17"/>
                <w:szCs w:val="17"/>
              </w:rPr>
              <w:t>TSS</w:t>
            </w:r>
          </w:p>
        </w:tc>
      </w:tr>
      <w:tr>
        <w:tc>
          <w:tcPr>
            <w:tcW w:type="dxa" w:w="17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Gradient Boosting</w:t>
            </w:r>
          </w:p>
        </w:tc>
        <w:tc>
          <w:tcPr>
            <w:tcW w:type="dxa" w:w="43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0,834 ± 0,064</w:t>
            </w:r>
          </w:p>
        </w:tc>
        <w:tc>
          <w:tcPr>
            <w:tcW w:type="dxa" w:w="42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0,607</w:t>
            </w:r>
          </w:p>
        </w:tc>
      </w:tr>
      <w:tr>
        <w:tc>
          <w:tcPr>
            <w:tcW w:type="dxa" w:w="17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Random Forest</w:t>
            </w:r>
          </w:p>
        </w:tc>
        <w:tc>
          <w:tcPr>
            <w:tcW w:type="dxa" w:w="43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0,820 ± 0,028</w:t>
            </w:r>
          </w:p>
        </w:tc>
        <w:tc>
          <w:tcPr>
            <w:tcW w:type="dxa" w:w="42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0,559</w:t>
            </w:r>
          </w:p>
        </w:tc>
      </w:tr>
      <w:tr>
        <w:tc>
          <w:tcPr>
            <w:tcW w:type="dxa" w:w="17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MaxEnt</w:t>
            </w:r>
          </w:p>
        </w:tc>
        <w:tc>
          <w:tcPr>
            <w:tcW w:type="dxa" w:w="43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0,811 ± 0,032</w:t>
            </w:r>
          </w:p>
        </w:tc>
        <w:tc>
          <w:tcPr>
            <w:tcW w:type="dxa" w:w="42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0,590</w:t>
            </w:r>
          </w:p>
        </w:tc>
      </w:tr>
      <w:tr>
        <w:tc>
          <w:tcPr>
            <w:tcW w:type="dxa" w:w="17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Modelo base geológico</w:t>
            </w:r>
          </w:p>
        </w:tc>
        <w:tc>
          <w:tcPr>
            <w:tcW w:type="dxa" w:w="43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0,730 ± 0,067</w:t>
            </w:r>
          </w:p>
        </w:tc>
        <w:tc>
          <w:tcPr>
            <w:tcW w:type="dxa" w:w="42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0,426</w:t>
            </w:r>
          </w:p>
        </w:tc>
      </w:tr>
    </w:tbl>
    <w:p>
      <w:r>
        <w:t>Pesos de Evidencia: el ambiente marino es el predictor individual más fuerte (contraste +1,11; C = 12,6), seguido del ambiente transicional (+1,00) y de la era cenozoica (+0,75; C = 8,3). El Mesozoico no resulta significativo por sí solo (C = −1,05), lo que confirma que la señal aprovechable está en la unidad geológica y no en la edad tomada de forma aislada. Las unidades más favorables son las formaciones Palegreda, Chilcatay, Yumaque, Zorritos, Pisco y el grupo Talara, todas cenozoicas marinas.</w:t>
      </w:r>
    </w:p>
    <w:p>
      <w:r>
        <w:t>Control de calidad: 15 de las 710 presencias (2,1 %) caen sobre unidades intrusivas —once de ellas en el Batolito de San Nicolás—, lo que es geológicamente imposible y delata error de georreferencia o de asignación de unidad. Se excluyen del entrenamiento; el análisis de sensibilidad muestra que su presencia o ausencia no altera el resultado (AUC de 0,864 frente a 0,859), de modo que la decisión no condiciona las conclusiones.</w:t>
      </w:r>
    </w:p>
    <w:p>
      <w:pPr>
        <w:pStyle w:val="Heading2"/>
        <w:spacing w:after="100" w:before="200"/>
      </w:pPr>
      <w:r>
        <w:rPr>
          <w:rFonts w:ascii="Arial" w:cs="Arial" w:eastAsia="Arial" w:hAnsi="Arial"/>
          <w:b/>
          <w:bCs/>
          <w:color w:val="2F5496"/>
          <w:sz w:val="22"/>
          <w:szCs w:val="22"/>
        </w:rPr>
        <w:t>9.4 Contraste de las hipótesis</w:t>
      </w:r>
    </w:p>
    <w:p>
      <w:r>
        <w:t>H1 se confirma parcialmente: la geología predice la ocurrencia, pero la señal proviene de la unidad y del ambiente sedimentario, no de la edad por sí sola (el modelo con era únicamente alcanza un AUC de 0,580, frente a 0,752 al incorporar unidad y ambiente).</w:t>
      </w:r>
    </w:p>
    <w:p>
      <w:r>
        <w:t>H2 debe reformularse. El enunciado original afirma que el aprendizaje automático supera al modelo base solo si se controla explícitamente el sesgo de accesibilidad, pero la ablación muestra que lo supera igualmente sin ese control (AUC de 0,815 frente a 0,752). Lo que aporta el control es una mejora de 0,042 de AUC y, sobre todo, un cambio en la geografía de la predicción: sin él, el mapa señala las márgenes de los ríos amazónicos, que es donde se colecta y no donde se preserva.</w:t>
      </w:r>
    </w:p>
    <w:p>
      <w:r>
        <w:t>H3 se confirma. La validación cruzada aleatoria sobrestima el desempeño en 0,037 de AUC y 0,062 de TSS respecto de la validación con bloqueo espacial, lo que justifica la exigencia de bloqueo adoptada en el diseño.</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4240"/>
      </w:tblGrid>
      <w:tr>
        <w:tc>
          <w:tcPr>
            <w:tcW w:type="dxa" w:w="1700"/>
            <w:tcBorders>
              <w:top w:val="single" w:color="2F5496" w:sz="1"/>
              <w:left w:val="single" w:color="2F5496" w:sz="1"/>
              <w:bottom w:val="single" w:color="2F5496" w:sz="1"/>
              <w:right w:val="single" w:color="2F5496" w:sz="1"/>
            </w:tcBorders>
            <w:shd w:fill="2F5496" w:val="clear"/>
            <w:tcMar>
              <w:top w:type="dxa" w:w="50"/>
              <w:left w:type="dxa" w:w="70"/>
              <w:bottom w:type="dxa" w:w="50"/>
              <w:right w:type="dxa" w:w="70"/>
            </w:tcMar>
          </w:tcPr>
          <w:p>
            <w:r>
              <w:rPr>
                <w:rFonts w:ascii="Arial" w:cs="Arial" w:eastAsia="Arial" w:hAnsi="Arial"/>
                <w:b/>
                <w:bCs/>
                <w:color w:val="FFFFFF"/>
                <w:sz w:val="17"/>
                <w:szCs w:val="17"/>
              </w:rPr>
              <w:t>Contraste</w:t>
            </w:r>
          </w:p>
        </w:tc>
        <w:tc>
          <w:tcPr>
            <w:tcW w:type="dxa" w:w="4300"/>
            <w:tcBorders>
              <w:top w:val="single" w:color="2F5496" w:sz="1"/>
              <w:left w:val="single" w:color="2F5496" w:sz="1"/>
              <w:bottom w:val="single" w:color="2F5496" w:sz="1"/>
              <w:right w:val="single" w:color="2F5496" w:sz="1"/>
            </w:tcBorders>
            <w:shd w:fill="2F5496" w:val="clear"/>
            <w:tcMar>
              <w:top w:type="dxa" w:w="50"/>
              <w:left w:type="dxa" w:w="70"/>
              <w:bottom w:type="dxa" w:w="50"/>
              <w:right w:type="dxa" w:w="70"/>
            </w:tcMar>
          </w:tcPr>
          <w:p>
            <w:r>
              <w:rPr>
                <w:rFonts w:ascii="Arial" w:cs="Arial" w:eastAsia="Arial" w:hAnsi="Arial"/>
                <w:b/>
                <w:bCs/>
                <w:color w:val="FFFFFF"/>
                <w:sz w:val="17"/>
                <w:szCs w:val="17"/>
              </w:rPr>
              <w:t>AUC (Gradient Boosting)</w:t>
            </w:r>
          </w:p>
        </w:tc>
        <w:tc>
          <w:tcPr>
            <w:tcW w:type="dxa" w:w="4240"/>
            <w:tcBorders>
              <w:top w:val="single" w:color="2F5496" w:sz="1"/>
              <w:left w:val="single" w:color="2F5496" w:sz="1"/>
              <w:bottom w:val="single" w:color="2F5496" w:sz="1"/>
              <w:right w:val="single" w:color="2F5496" w:sz="1"/>
            </w:tcBorders>
            <w:shd w:fill="2F5496" w:val="clear"/>
            <w:tcMar>
              <w:top w:type="dxa" w:w="50"/>
              <w:left w:type="dxa" w:w="70"/>
              <w:bottom w:type="dxa" w:w="50"/>
              <w:right w:type="dxa" w:w="70"/>
            </w:tcMar>
          </w:tcPr>
          <w:p>
            <w:r>
              <w:rPr>
                <w:rFonts w:ascii="Arial" w:cs="Arial" w:eastAsia="Arial" w:hAnsi="Arial"/>
                <w:b/>
                <w:bCs/>
                <w:color w:val="FFFFFF"/>
                <w:sz w:val="17"/>
                <w:szCs w:val="17"/>
              </w:rPr>
              <w:t>TSS</w:t>
            </w:r>
          </w:p>
        </w:tc>
      </w:tr>
      <w:tr>
        <w:tc>
          <w:tcPr>
            <w:tcW w:type="dxa" w:w="17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Sin covariables de accesibilidad</w:t>
            </w:r>
          </w:p>
        </w:tc>
        <w:tc>
          <w:tcPr>
            <w:tcW w:type="dxa" w:w="43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0,815</w:t>
            </w:r>
          </w:p>
        </w:tc>
        <w:tc>
          <w:tcPr>
            <w:tcW w:type="dxa" w:w="42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0,511</w:t>
            </w:r>
          </w:p>
        </w:tc>
      </w:tr>
      <w:tr>
        <w:tc>
          <w:tcPr>
            <w:tcW w:type="dxa" w:w="17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Con covariables de accesibilidad</w:t>
            </w:r>
          </w:p>
        </w:tc>
        <w:tc>
          <w:tcPr>
            <w:tcW w:type="dxa" w:w="43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0,857</w:t>
            </w:r>
          </w:p>
        </w:tc>
        <w:tc>
          <w:tcPr>
            <w:tcW w:type="dxa" w:w="42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0,589</w:t>
            </w:r>
          </w:p>
        </w:tc>
      </w:tr>
      <w:tr>
        <w:tc>
          <w:tcPr>
            <w:tcW w:type="dxa" w:w="17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Bloqueo espacial de 100 km</w:t>
            </w:r>
          </w:p>
        </w:tc>
        <w:tc>
          <w:tcPr>
            <w:tcW w:type="dxa" w:w="43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0,855</w:t>
            </w:r>
          </w:p>
        </w:tc>
        <w:tc>
          <w:tcPr>
            <w:tcW w:type="dxa" w:w="42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0,585</w:t>
            </w:r>
          </w:p>
        </w:tc>
      </w:tr>
      <w:tr>
        <w:tc>
          <w:tcPr>
            <w:tcW w:type="dxa" w:w="17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k-fold aleatorio</w:t>
            </w:r>
          </w:p>
        </w:tc>
        <w:tc>
          <w:tcPr>
            <w:tcW w:type="dxa" w:w="43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0,892</w:t>
            </w:r>
          </w:p>
        </w:tc>
        <w:tc>
          <w:tcPr>
            <w:tcW w:type="dxa" w:w="42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bCs/>
                <w:sz w:val="16"/>
                <w:szCs w:val="16"/>
              </w:rPr>
              <w:t>0,647</w:t>
            </w:r>
          </w:p>
        </w:tc>
      </w:tr>
    </w:tbl>
    <w:p>
      <w:r>
        <w:t>Neutralización del sesgo en la predicción: el mapa que se propone para priorizar campañas fija las covariables de accesibilidad al valor mediano de las celdas con presencia, de modo que la variación espacial responda a la geología y al relieve. Es la versión simple del procedimiento y así debe declararse; los enfoques formales de corrección para datos de solo-presencia quedan señalados como línea de mejora.</w:t>
      </w:r>
    </w:p>
    <w:p>
      <w:pPr>
        <w:pStyle w:val="Heading1"/>
        <w:spacing w:after="140" w:before="260"/>
      </w:pPr>
      <w:r>
        <w:rPr>
          <w:rFonts w:ascii="Arial" w:cs="Arial" w:eastAsia="Arial" w:hAnsi="Arial"/>
          <w:b/>
          <w:bCs/>
          <w:color w:val="1F4E79"/>
          <w:sz w:val="25"/>
          <w:szCs w:val="25"/>
        </w:rPr>
        <w:t xml:space="preserve">10. Entorno de software</w:t>
      </w:r>
    </w:p>
    <w:p>
      <w:pPr>
        <w:pStyle w:val="ListParagraph"/>
        <w:numPr>
          <w:ilvl w:val="0"/>
          <w:numId w:val="2"/>
        </w:numPr>
        <w:spacing w:after="70" w:line="270"/>
      </w:pPr>
      <w:r>
        <w:rPr>
          <w:rFonts w:ascii="Arial" w:cs="Arial" w:eastAsia="Arial" w:hAnsi="Arial"/>
          <w:b/>
          <w:bCs/>
          <w:sz w:val="21"/>
          <w:szCs w:val="21"/>
        </w:rPr>
        <w:t xml:space="preserve">Lenguaje e IDE: </w:t>
      </w:r>
      <w:r>
        <w:rPr>
          <w:rFonts w:ascii="Arial" w:cs="Arial" w:eastAsia="Arial" w:hAnsi="Arial"/>
          <w:sz w:val="21"/>
          <w:szCs w:val="21"/>
        </w:rPr>
        <w:t xml:space="preserve">R + RStudio (Posit).</w:t>
      </w:r>
    </w:p>
    <w:p>
      <w:pPr>
        <w:pStyle w:val="ListParagraph"/>
        <w:numPr>
          <w:ilvl w:val="0"/>
          <w:numId w:val="2"/>
        </w:numPr>
        <w:spacing w:after="70" w:line="270"/>
      </w:pPr>
      <w:r>
        <w:rPr>
          <w:rFonts w:ascii="Arial" w:cs="Arial" w:eastAsia="Arial" w:hAnsi="Arial"/>
          <w:b/>
          <w:bCs/>
          <w:sz w:val="21"/>
          <w:szCs w:val="21"/>
        </w:rPr>
        <w:t xml:space="preserve">Gestión de entorno: </w:t>
      </w:r>
      <w:r>
        <w:rPr>
          <w:rFonts w:ascii="Arial" w:cs="Arial" w:eastAsia="Arial" w:hAnsi="Arial"/>
          <w:sz w:val="21"/>
          <w:szCs w:val="21"/>
        </w:rPr>
        <w:t xml:space="preserve">renv para congelar versiones de paquetes.</w:t>
      </w:r>
    </w:p>
    <w:p>
      <w:pPr>
        <w:pStyle w:val="ListParagraph"/>
        <w:numPr>
          <w:ilvl w:val="0"/>
          <w:numId w:val="2"/>
        </w:numPr>
        <w:spacing w:after="70" w:line="270"/>
      </w:pPr>
      <w:r>
        <w:rPr>
          <w:rFonts w:ascii="Arial" w:cs="Arial" w:eastAsia="Arial" w:hAnsi="Arial"/>
          <w:b/>
          <w:bCs/>
          <w:sz w:val="21"/>
          <w:szCs w:val="21"/>
        </w:rPr>
        <w:t xml:space="preserve">Control de versiones: </w:t>
      </w:r>
      <w:r>
        <w:rPr>
          <w:rFonts w:ascii="Arial" w:cs="Arial" w:eastAsia="Arial" w:hAnsi="Arial"/>
          <w:sz w:val="21"/>
          <w:szCs w:val="21"/>
        </w:rPr>
        <w:t xml:space="preserve">Git + repositorio remoto.</w:t>
      </w:r>
    </w:p>
    <w:p>
      <w:pPr>
        <w:pStyle w:val="ListParagraph"/>
        <w:numPr>
          <w:ilvl w:val="0"/>
          <w:numId w:val="2"/>
        </w:numPr>
        <w:spacing w:after="70" w:line="270"/>
      </w:pPr>
      <w:r>
        <w:rPr>
          <w:rFonts w:ascii="Arial" w:cs="Arial" w:eastAsia="Arial" w:hAnsi="Arial"/>
          <w:b/>
          <w:bCs/>
          <w:sz w:val="21"/>
          <w:szCs w:val="21"/>
        </w:rPr>
        <w:t xml:space="preserve">Teledetección: </w:t>
      </w:r>
      <w:r>
        <w:rPr>
          <w:rFonts w:ascii="Arial" w:cs="Arial" w:eastAsia="Arial" w:hAnsi="Arial"/>
          <w:sz w:val="21"/>
          <w:szCs w:val="21"/>
        </w:rPr>
        <w:t xml:space="preserve">Google Earth Engine (exportación de rasters a R).</w:t>
      </w:r>
    </w:p>
    <w:p>
      <w:pPr>
        <w:spacing w:after="100" w:before="0" w:line="270"/>
        <w:jc w:val="both"/>
      </w:pPr>
      <w:r>
        <w:rPr>
          <w:rFonts w:ascii="Arial" w:cs="Arial" w:eastAsia="Arial" w:hAnsi="Arial"/>
          <w:b w:val="false"/>
          <w:bCs w:val="false"/>
          <w:i w:val="false"/>
          <w:iCs w:val="false"/>
          <w:sz w:val="21"/>
          <w:szCs w:val="21"/>
        </w:rPr>
        <w:t xml:space="preserve">Se elige R por su ecosistema maduro en modelos de distribución, validación espacial y métricas ecológicas, alineado con la literatura de paleontological predictive modeling.</w:t>
      </w:r>
    </w:p>
    <w:p>
      <w:pPr>
        <w:pStyle w:val="Heading1"/>
        <w:spacing w:after="140" w:before="260"/>
      </w:pPr>
      <w:r>
        <w:rPr>
          <w:rFonts w:ascii="Arial" w:cs="Arial" w:eastAsia="Arial" w:hAnsi="Arial"/>
          <w:b/>
          <w:bCs/>
          <w:color w:val="1F4E79"/>
          <w:sz w:val="25"/>
          <w:szCs w:val="25"/>
        </w:rPr>
        <w:t xml:space="preserve">11. Consideraciones metodológicas críticas</w:t>
      </w:r>
    </w:p>
    <w:p>
      <w:pPr>
        <w:spacing w:after="100" w:before="0" w:line="270"/>
        <w:jc w:val="both"/>
      </w:pPr>
      <w:r>
        <w:rPr>
          <w:rFonts w:ascii="Arial" w:cs="Arial" w:eastAsia="Arial" w:hAnsi="Arial"/>
          <w:b w:val="false"/>
          <w:bCs w:val="false"/>
          <w:i w:val="false"/>
          <w:iCs w:val="false"/>
          <w:sz w:val="21"/>
          <w:szCs w:val="21"/>
        </w:rPr>
        <w:t xml:space="preserve">Tres amenazas a la validez se tratan por diseño: (i) datos solo-presencia → construcción cuidadosa del fondo; (ii) sesgo de accesibilidad → covariables de distancia y target-group background; (iii) autocorrelación espacial → validación con bloqueo espacial. Ignorar cualquiera de ellas produce métricas altas sin valor predictivo real.</w:t>
      </w:r>
    </w:p>
    <w:p>
      <w:pPr>
        <w:pStyle w:val="Heading1"/>
        <w:spacing w:after="140" w:before="260"/>
      </w:pPr>
      <w:r>
        <w:rPr>
          <w:rFonts w:ascii="Arial" w:cs="Arial" w:eastAsia="Arial" w:hAnsi="Arial"/>
          <w:b/>
          <w:bCs/>
          <w:color w:val="1F4E79"/>
          <w:sz w:val="25"/>
          <w:szCs w:val="25"/>
        </w:rPr>
        <w:t xml:space="preserve">12. Productos esperados y figuras del artículo</w:t>
      </w:r>
    </w:p>
    <w:p>
      <w:pPr>
        <w:pStyle w:val="Heading2"/>
        <w:spacing w:after="100" w:before="200"/>
      </w:pPr>
      <w:r>
        <w:rPr>
          <w:rFonts w:ascii="Arial" w:cs="Arial" w:eastAsia="Arial" w:hAnsi="Arial"/>
          <w:b/>
          <w:bCs/>
          <w:color w:val="2F5496"/>
          <w:sz w:val="22"/>
          <w:szCs w:val="22"/>
        </w:rPr>
        <w:t xml:space="preserve">12.1 Productos principales</w:t>
      </w:r>
    </w:p>
    <w:p>
      <w:pPr>
        <w:pStyle w:val="ListParagraph"/>
        <w:numPr>
          <w:ilvl w:val="0"/>
          <w:numId w:val="2"/>
        </w:numPr>
        <w:spacing w:after="70" w:line="270"/>
      </w:pPr>
      <w:r>
        <w:rPr>
          <w:rFonts w:ascii="Arial" w:cs="Arial" w:eastAsia="Arial" w:hAnsi="Arial"/>
          <w:sz w:val="21"/>
          <w:szCs w:val="21"/>
        </w:rPr>
        <w:t xml:space="preserve">Base de datos nacional depurada y georreferenciada de localidades fósiles.</w:t>
      </w:r>
    </w:p>
    <w:p>
      <w:pPr>
        <w:pStyle w:val="ListParagraph"/>
        <w:numPr>
          <w:ilvl w:val="0"/>
          <w:numId w:val="2"/>
        </w:numPr>
        <w:spacing w:after="70" w:line="270"/>
      </w:pPr>
      <w:r>
        <w:rPr>
          <w:rFonts w:ascii="Arial" w:cs="Arial" w:eastAsia="Arial" w:hAnsi="Arial"/>
          <w:sz w:val="21"/>
          <w:szCs w:val="21"/>
        </w:rPr>
        <w:t xml:space="preserve">Mapa de prospectividad paleontológica del Perú.</w:t>
      </w:r>
    </w:p>
    <w:p>
      <w:pPr>
        <w:pStyle w:val="ListParagraph"/>
        <w:numPr>
          <w:ilvl w:val="0"/>
          <w:numId w:val="2"/>
        </w:numPr>
        <w:spacing w:after="70" w:line="270"/>
      </w:pPr>
      <w:r>
        <w:rPr>
          <w:rFonts w:ascii="Arial" w:cs="Arial" w:eastAsia="Arial" w:hAnsi="Arial"/>
          <w:sz w:val="21"/>
          <w:szCs w:val="21"/>
        </w:rPr>
        <w:t xml:space="preserve">Mapa de incertidumbre asociado.</w:t>
      </w:r>
    </w:p>
    <w:p>
      <w:pPr>
        <w:pStyle w:val="ListParagraph"/>
        <w:numPr>
          <w:ilvl w:val="0"/>
          <w:numId w:val="2"/>
        </w:numPr>
        <w:spacing w:after="70" w:line="270"/>
      </w:pPr>
      <w:r>
        <w:rPr>
          <w:rFonts w:ascii="Arial" w:cs="Arial" w:eastAsia="Arial" w:hAnsi="Arial"/>
          <w:sz w:val="21"/>
          <w:szCs w:val="21"/>
        </w:rPr>
        <w:t xml:space="preserve">Repositorio reproducible (código R + renv + datos procesados).</w:t>
      </w:r>
    </w:p>
    <w:p>
      <w:pPr>
        <w:pStyle w:val="ListParagraph"/>
        <w:numPr>
          <w:ilvl w:val="0"/>
          <w:numId w:val="2"/>
        </w:numPr>
        <w:spacing w:after="70" w:line="270"/>
      </w:pPr>
      <w:r>
        <w:rPr>
          <w:rFonts w:ascii="Arial" w:cs="Arial" w:eastAsia="Arial" w:hAnsi="Arial"/>
          <w:sz w:val="21"/>
          <w:szCs w:val="21"/>
        </w:rPr>
        <w:t xml:space="preserve">Manuscrito científico con método, resultados de validación y figuras.</w:t>
      </w:r>
    </w:p>
    <w:p>
      <w:pPr>
        <w:spacing w:after="60"/>
        <w:jc w:val="center"/>
      </w:pPr>
      <w:r>
        <w:rPr>
          <w:rFonts w:ascii="Arial" w:cs="Arial" w:eastAsia="Arial" w:hAnsi="Arial"/>
          <w:b/>
          <w:bCs/>
          <w:color w:val="1F4E79"/>
          <w:sz w:val="26"/>
          <w:szCs w:val="26"/>
        </w:rPr>
        <w:t>De los cinco productos previstos, cuatro están generados a fecha de este documento: la base de datos nacional depurada (11 140 ocurrencias, 666 localidades independientes), el mapa de prospectividad, el mapa de incertidumbre y la priorización de campo. Restan el manuscrito y la publicación del repositorio reproducible.</w:t>
      </w:r>
    </w:p>
    <w:p>
      <w:pPr>
        <w:pStyle w:val="Heading2"/>
        <w:spacing w:after="100" w:before="200"/>
      </w:pPr>
      <w:r>
        <w:rPr>
          <w:rFonts w:ascii="Arial" w:cs="Arial" w:eastAsia="Arial" w:hAnsi="Arial"/>
          <w:b/>
          <w:bCs/>
          <w:color w:val="2F5496"/>
          <w:sz w:val="22"/>
          <w:szCs w:val="22"/>
        </w:rPr>
        <w:t xml:space="preserve">12.2 Figuras y gráficos recomendados para el artículo</w:t>
      </w:r>
    </w:p>
    <w:p>
      <w:pPr>
        <w:pStyle w:val="ListParagraph"/>
        <w:numPr>
          <w:ilvl w:val="0"/>
          <w:numId w:val="5"/>
        </w:numPr>
        <w:spacing w:after="60" w:line="270"/>
      </w:pPr>
      <w:r>
        <w:rPr>
          <w:rFonts w:ascii="Arial" w:cs="Arial" w:eastAsia="Arial" w:hAnsi="Arial"/>
          <w:sz w:val="21"/>
          <w:szCs w:val="21"/>
        </w:rPr>
        <w:t>Mapa de localidades fósiles conocidas sobre fondo geológico o topográfico (inventario). [generada: fig01_inventario]</w:t>
      </w:r>
    </w:p>
    <w:p>
      <w:pPr>
        <w:pStyle w:val="ListParagraph"/>
        <w:numPr>
          <w:ilvl w:val="0"/>
          <w:numId w:val="5"/>
        </w:numPr>
        <w:spacing w:after="60" w:line="270"/>
      </w:pPr>
      <w:r>
        <w:rPr>
          <w:rFonts w:ascii="Arial" w:cs="Arial" w:eastAsia="Arial" w:hAnsi="Arial"/>
          <w:sz w:val="21"/>
          <w:szCs w:val="21"/>
        </w:rPr>
        <w:t xml:space="preserve">Histograma o barra del número de localidades por formación / edad / clase taxonómica.</w:t>
      </w:r>
    </w:p>
    <w:p>
      <w:pPr>
        <w:pStyle w:val="ListParagraph"/>
        <w:numPr>
          <w:ilvl w:val="0"/>
          <w:numId w:val="5"/>
        </w:numPr>
        <w:spacing w:after="60" w:line="270"/>
      </w:pPr>
      <w:r>
        <w:rPr>
          <w:rFonts w:ascii="Arial" w:cs="Arial" w:eastAsia="Arial" w:hAnsi="Arial"/>
          <w:sz w:val="21"/>
          <w:szCs w:val="21"/>
        </w:rPr>
        <w:t xml:space="preserve">Mapa de las covariables principales (ej. formación geológica, pendiente, índice de exposición, distancia a vías).</w:t>
      </w:r>
    </w:p>
    <w:p>
      <w:pPr>
        <w:pStyle w:val="ListParagraph"/>
        <w:numPr>
          <w:ilvl w:val="0"/>
          <w:numId w:val="5"/>
        </w:numPr>
        <w:spacing w:after="60" w:line="270"/>
      </w:pPr>
      <w:r>
        <w:rPr>
          <w:rFonts w:ascii="Arial" w:cs="Arial" w:eastAsia="Arial" w:hAnsi="Arial"/>
          <w:sz w:val="21"/>
          <w:szCs w:val="21"/>
        </w:rPr>
        <w:t xml:space="preserve">Diagrama de bloques espaciales usados en la validación cruzada.</w:t>
      </w:r>
    </w:p>
    <w:p>
      <w:pPr>
        <w:pStyle w:val="ListParagraph"/>
        <w:numPr>
          <w:ilvl w:val="0"/>
          <w:numId w:val="5"/>
        </w:numPr>
        <w:spacing w:after="60" w:line="270"/>
      </w:pPr>
      <w:r>
        <w:rPr>
          <w:rFonts w:ascii="Arial" w:cs="Arial" w:eastAsia="Arial" w:hAnsi="Arial"/>
          <w:sz w:val="21"/>
          <w:szCs w:val="21"/>
        </w:rPr>
        <w:t xml:space="preserve">Curvas ROC o valores de AUC/TSS/Boyce por modelo y por pliegue espacial (comparación de desempeño).</w:t>
      </w:r>
    </w:p>
    <w:p>
      <w:pPr>
        <w:pStyle w:val="ListParagraph"/>
        <w:numPr>
          <w:ilvl w:val="0"/>
          <w:numId w:val="5"/>
        </w:numPr>
        <w:spacing w:after="60" w:line="270"/>
      </w:pPr>
      <w:r>
        <w:rPr>
          <w:rFonts w:ascii="Arial" w:cs="Arial" w:eastAsia="Arial" w:hAnsi="Arial"/>
          <w:sz w:val="21"/>
          <w:szCs w:val="21"/>
        </w:rPr>
        <w:t xml:space="preserve">Importancia de variables (Random Forest / Boosting) o contribuciones (MaxEnt).</w:t>
      </w:r>
    </w:p>
    <w:p>
      <w:pPr>
        <w:pStyle w:val="ListParagraph"/>
        <w:numPr>
          <w:ilvl w:val="0"/>
          <w:numId w:val="5"/>
        </w:numPr>
        <w:spacing w:after="60" w:line="270"/>
      </w:pPr>
      <w:r>
        <w:rPr>
          <w:rFonts w:ascii="Arial" w:cs="Arial" w:eastAsia="Arial" w:hAnsi="Arial"/>
          <w:sz w:val="21"/>
          <w:szCs w:val="21"/>
        </w:rPr>
        <w:t>Mapa de prospectividad final (probabilidad relativa). [generada: fig03_prospectividad_nacional, con el sesgo de acceso neutralizado]</w:t>
      </w:r>
    </w:p>
    <w:p>
      <w:pPr>
        <w:pStyle w:val="ListParagraph"/>
        <w:numPr>
          <w:ilvl w:val="0"/>
          <w:numId w:val="5"/>
        </w:numPr>
        <w:spacing w:after="60" w:line="270"/>
      </w:pPr>
      <w:r>
        <w:rPr>
          <w:rFonts w:ascii="Arial" w:cs="Arial" w:eastAsia="Arial" w:hAnsi="Arial"/>
          <w:sz w:val="21"/>
          <w:szCs w:val="21"/>
        </w:rPr>
        <w:t>Mapa de incertidumbre (desviación estándar o intervalo). [generada: fig04_incertidumbre_nacional]</w:t>
      </w:r>
    </w:p>
    <w:p>
      <w:pPr>
        <w:pStyle w:val="ListParagraph"/>
        <w:numPr>
          <w:ilvl w:val="0"/>
          <w:numId w:val="5"/>
        </w:numPr>
        <w:spacing w:after="60" w:line="270"/>
      </w:pPr>
      <w:r>
        <w:rPr>
          <w:rFonts w:ascii="Arial" w:cs="Arial" w:eastAsia="Arial" w:hAnsi="Arial"/>
          <w:sz w:val="21"/>
          <w:szCs w:val="21"/>
        </w:rPr>
        <w:t>Mapa combinado o de priorización (prospectividad alta + incertidumbre baja). [generada: fig06_priorizacion, 6 468 km² priorizados]</w:t>
      </w:r>
    </w:p>
    <w:p>
      <w:pPr>
        <w:pStyle w:val="ListParagraph"/>
        <w:numPr>
          <w:ilvl w:val="0"/>
          <w:numId w:val="5"/>
        </w:numPr>
        <w:spacing w:after="60" w:line="270"/>
      </w:pPr>
      <w:r>
        <w:rPr>
          <w:rFonts w:ascii="Arial" w:cs="Arial" w:eastAsia="Arial" w:hAnsi="Arial"/>
          <w:sz w:val="21"/>
          <w:szCs w:val="21"/>
        </w:rPr>
        <w:t>Tabla resumen de métricas de validación espacial por modelo (modelo base, MaxEnt, RF, Boosting). [generada: tabla_comparacion_modelos.csv]</w:t>
      </w:r>
    </w:p>
    <w:p>
      <w:pPr>
        <w:pStyle w:val="ListParagraph"/>
        <w:numPr>
          <w:ilvl w:val="0"/>
          <w:numId w:val="2"/>
        </w:numPr>
        <w:spacing w:after="70" w:line="270"/>
      </w:pPr>
      <w:r>
        <w:rPr>
          <w:rFonts w:ascii="Arial" w:cs="Arial" w:eastAsia="Arial" w:hAnsi="Arial"/>
          <w:sz w:val="21"/>
          <w:szCs w:val="21"/>
        </w:rPr>
        <w:t>Mapa de favorabilidad geológica base (Pesos de Evidencia), referencia frente a la cual se juzga el aporte del aprendizaje automático. [generada: fig02_favorabilidad_base]</w:t>
      </w:r>
    </w:p>
    <w:p>
      <w:pPr>
        <w:pStyle w:val="ListParagraph"/>
        <w:numPr>
          <w:ilvl w:val="0"/>
          <w:numId w:val="2"/>
        </w:numPr>
        <w:spacing w:after="70" w:line="270"/>
      </w:pPr>
      <w:r>
        <w:rPr>
          <w:rFonts w:ascii="Arial" w:cs="Arial" w:eastAsia="Arial" w:hAnsi="Arial"/>
          <w:sz w:val="21"/>
          <w:szCs w:val="21"/>
        </w:rPr>
        <w:t>Mapa de prospectividad del estrato mesozoico, geográficamente distinto del nacional. [generada: fig05_prospectividad_mesozoico]</w:t>
      </w:r>
    </w:p>
    <w:p>
      <w:pPr>
        <w:pStyle w:val="Heading2"/>
        <w:spacing w:after="100" w:before="200"/>
      </w:pPr>
      <w:r>
        <w:rPr>
          <w:rFonts w:ascii="Arial" w:cs="Arial" w:eastAsia="Arial" w:hAnsi="Arial"/>
          <w:b/>
          <w:bCs/>
          <w:color w:val="2F5496"/>
          <w:sz w:val="22"/>
          <w:szCs w:val="22"/>
        </w:rPr>
        <w:t xml:space="preserve">12.3 Tablas del artículo</w:t>
      </w:r>
    </w:p>
    <w:p>
      <w:pPr>
        <w:pStyle w:val="ListParagraph"/>
        <w:numPr>
          <w:ilvl w:val="0"/>
          <w:numId w:val="2"/>
        </w:numPr>
        <w:spacing w:after="70" w:line="270"/>
      </w:pPr>
      <w:r>
        <w:rPr>
          <w:rFonts w:ascii="Arial" w:cs="Arial" w:eastAsia="Arial" w:hAnsi="Arial"/>
          <w:sz w:val="21"/>
          <w:szCs w:val="21"/>
        </w:rPr>
        <w:t xml:space="preserve">Tabla de fuentes de datos y número de registros por fuente (con fecha de corte).</w:t>
      </w:r>
    </w:p>
    <w:p>
      <w:pPr>
        <w:pStyle w:val="ListParagraph"/>
        <w:numPr>
          <w:ilvl w:val="0"/>
          <w:numId w:val="2"/>
        </w:numPr>
        <w:spacing w:after="70" w:line="270"/>
      </w:pPr>
      <w:r>
        <w:rPr>
          <w:rFonts w:ascii="Arial" w:cs="Arial" w:eastAsia="Arial" w:hAnsi="Arial"/>
          <w:sz w:val="21"/>
          <w:szCs w:val="21"/>
        </w:rPr>
        <w:t>Tabla del censo de viabilidad: N bruto, N tras filtro espacial, N efectivo tras deduplicación. [generada: tabla_censo_definitivo.csv]</w:t>
      </w:r>
    </w:p>
    <w:p>
      <w:pPr>
        <w:pStyle w:val="ListParagraph"/>
        <w:numPr>
          <w:ilvl w:val="0"/>
          <w:numId w:val="2"/>
        </w:numPr>
        <w:spacing w:after="70" w:line="270"/>
      </w:pPr>
      <w:r>
        <w:rPr>
          <w:rFonts w:ascii="Arial" w:cs="Arial" w:eastAsia="Arial" w:hAnsi="Arial"/>
          <w:sz w:val="21"/>
          <w:szCs w:val="21"/>
        </w:rPr>
        <w:t xml:space="preserve">Tabla de hiperparámetros y configuración de cada modelo.</w:t>
      </w:r>
    </w:p>
    <w:p>
      <w:pPr>
        <w:pStyle w:val="ListParagraph"/>
        <w:numPr>
          <w:ilvl w:val="0"/>
          <w:numId w:val="2"/>
        </w:numPr>
        <w:spacing w:after="70" w:line="270"/>
      </w:pPr>
      <w:r>
        <w:rPr>
          <w:rFonts w:ascii="Arial" w:cs="Arial" w:eastAsia="Arial" w:hAnsi="Arial"/>
          <w:sz w:val="21"/>
          <w:szCs w:val="21"/>
        </w:rPr>
        <w:t xml:space="preserve">Tabla de métricas de validación espacial (media ± desviación entre pliegues).</w:t>
      </w:r>
    </w:p>
    <w:p>
      <w:pPr>
        <w:pStyle w:val="Heading1"/>
        <w:spacing w:after="140" w:before="260"/>
      </w:pPr>
      <w:r>
        <w:rPr>
          <w:rFonts w:ascii="Arial" w:cs="Arial" w:eastAsia="Arial" w:hAnsi="Arial"/>
          <w:b/>
          <w:bCs/>
          <w:color w:val="1F4E79"/>
          <w:sz w:val="25"/>
          <w:szCs w:val="25"/>
        </w:rPr>
        <w:t xml:space="preserve">13. Plan de trabajo</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100"/>
        <w:gridCol w:w="5000"/>
        <w:gridCol w:w="4140"/>
      </w:tblGrid>
      <w:tr>
        <w:tc>
          <w:tcPr>
            <w:tcW w:type="dxa" w:w="1100"/>
            <w:tcBorders>
              <w:top w:val="single" w:color="2F5496" w:sz="1"/>
              <w:left w:val="single" w:color="2F5496" w:sz="1"/>
              <w:bottom w:val="single" w:color="2F5496" w:sz="1"/>
              <w:right w:val="single" w:color="2F5496" w:sz="1"/>
            </w:tcBorders>
            <w:shd w:fill="2F5496" w:val="clear"/>
            <w:tcMar>
              <w:top w:type="dxa" w:w="50"/>
              <w:left w:type="dxa" w:w="70"/>
              <w:bottom w:type="dxa" w:w="50"/>
              <w:right w:type="dxa" w:w="70"/>
            </w:tcMar>
          </w:tcPr>
          <w:p>
            <w:r>
              <w:rPr>
                <w:rFonts w:ascii="Arial" w:cs="Arial" w:eastAsia="Arial" w:hAnsi="Arial"/>
                <w:b/>
                <w:bCs/>
                <w:color w:val="FFFFFF"/>
                <w:sz w:val="17"/>
                <w:szCs w:val="17"/>
              </w:rPr>
              <w:t xml:space="preserve">Etapa</w:t>
            </w:r>
          </w:p>
        </w:tc>
        <w:tc>
          <w:tcPr>
            <w:tcW w:type="dxa" w:w="5000"/>
            <w:tcBorders>
              <w:top w:val="single" w:color="2F5496" w:sz="1"/>
              <w:left w:val="single" w:color="2F5496" w:sz="1"/>
              <w:bottom w:val="single" w:color="2F5496" w:sz="1"/>
              <w:right w:val="single" w:color="2F5496" w:sz="1"/>
            </w:tcBorders>
            <w:shd w:fill="2F5496" w:val="clear"/>
            <w:tcMar>
              <w:top w:type="dxa" w:w="50"/>
              <w:left w:type="dxa" w:w="70"/>
              <w:bottom w:type="dxa" w:w="50"/>
              <w:right w:type="dxa" w:w="70"/>
            </w:tcMar>
          </w:tcPr>
          <w:p>
            <w:r>
              <w:rPr>
                <w:rFonts w:ascii="Arial" w:cs="Arial" w:eastAsia="Arial" w:hAnsi="Arial"/>
                <w:b/>
                <w:bCs/>
                <w:color w:val="FFFFFF"/>
                <w:sz w:val="17"/>
                <w:szCs w:val="17"/>
              </w:rPr>
              <w:t xml:space="preserve">Actividad</w:t>
            </w:r>
          </w:p>
        </w:tc>
        <w:tc>
          <w:tcPr>
            <w:tcW w:type="dxa" w:w="4140"/>
            <w:tcBorders>
              <w:top w:val="single" w:color="2F5496" w:sz="1"/>
              <w:left w:val="single" w:color="2F5496" w:sz="1"/>
              <w:bottom w:val="single" w:color="2F5496" w:sz="1"/>
              <w:right w:val="single" w:color="2F5496" w:sz="1"/>
            </w:tcBorders>
            <w:shd w:fill="2F5496" w:val="clear"/>
            <w:tcMar>
              <w:top w:type="dxa" w:w="50"/>
              <w:left w:type="dxa" w:w="70"/>
              <w:bottom w:type="dxa" w:w="50"/>
              <w:right w:type="dxa" w:w="70"/>
            </w:tcMar>
          </w:tcPr>
          <w:p>
            <w:r>
              <w:rPr>
                <w:rFonts w:ascii="Arial" w:cs="Arial" w:eastAsia="Arial" w:hAnsi="Arial"/>
                <w:b/>
                <w:bCs/>
                <w:color w:val="FFFFFF"/>
                <w:sz w:val="17"/>
                <w:szCs w:val="17"/>
              </w:rPr>
              <w:t xml:space="preserve">Entregable</w:t>
            </w:r>
          </w:p>
        </w:tc>
      </w:tr>
      <w:tr>
        <w:tc>
          <w:tcPr>
            <w:tcW w:type="dxa" w:w="11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1</w:t>
            </w:r>
          </w:p>
        </w:tc>
        <w:tc>
          <w:tcPr>
            <w:tcW w:type="dxa" w:w="50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Censo de viabilidad e inventario en R</w:t>
            </w:r>
          </w:p>
        </w:tc>
        <w:tc>
          <w:tcPr>
            <w:tcW w:type="dxa" w:w="41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Base depurada + N efectivo con fecha</w:t>
            </w:r>
          </w:p>
        </w:tc>
      </w:tr>
      <w:tr>
        <w:tc>
          <w:tcPr>
            <w:tcW w:type="dxa" w:w="11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2</w:t>
            </w:r>
          </w:p>
        </w:tc>
        <w:tc>
          <w:tcPr>
            <w:tcW w:type="dxa" w:w="50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Revisión de literatura y marco</w:t>
            </w:r>
          </w:p>
        </w:tc>
        <w:tc>
          <w:tcPr>
            <w:tcW w:type="dxa" w:w="41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Estado del arte</w:t>
            </w:r>
          </w:p>
        </w:tc>
      </w:tr>
      <w:tr>
        <w:tc>
          <w:tcPr>
            <w:tcW w:type="dxa" w:w="11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3</w:t>
            </w:r>
          </w:p>
        </w:tc>
        <w:tc>
          <w:tcPr>
            <w:tcW w:type="dxa" w:w="50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Covariables (GEE → R)</w:t>
            </w:r>
          </w:p>
        </w:tc>
        <w:tc>
          <w:tcPr>
            <w:tcW w:type="dxa" w:w="41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Pila de capas alineadas</w:t>
            </w:r>
          </w:p>
        </w:tc>
      </w:tr>
      <w:tr>
        <w:tc>
          <w:tcPr>
            <w:tcW w:type="dxa" w:w="11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4</w:t>
            </w:r>
          </w:p>
        </w:tc>
        <w:tc>
          <w:tcPr>
            <w:tcW w:type="dxa" w:w="50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Modelo base geológico</w:t>
            </w:r>
          </w:p>
        </w:tc>
        <w:tc>
          <w:tcPr>
            <w:tcW w:type="dxa" w:w="41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Referencia empírica validada</w:t>
            </w:r>
          </w:p>
        </w:tc>
      </w:tr>
      <w:tr>
        <w:tc>
          <w:tcPr>
            <w:tcW w:type="dxa" w:w="11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5</w:t>
            </w:r>
          </w:p>
        </w:tc>
        <w:tc>
          <w:tcPr>
            <w:tcW w:type="dxa" w:w="50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Entrenamiento ML en RStudio</w:t>
            </w:r>
          </w:p>
        </w:tc>
        <w:tc>
          <w:tcPr>
            <w:tcW w:type="dxa" w:w="41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Comparación bajo bloqueo espacial</w:t>
            </w:r>
          </w:p>
        </w:tc>
      </w:tr>
      <w:tr>
        <w:tc>
          <w:tcPr>
            <w:tcW w:type="dxa" w:w="11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6</w:t>
            </w:r>
          </w:p>
        </w:tc>
        <w:tc>
          <w:tcPr>
            <w:tcW w:type="dxa" w:w="50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Mapas + figuras del artículo</w:t>
            </w:r>
          </w:p>
        </w:tc>
        <w:tc>
          <w:tcPr>
            <w:tcW w:type="dxa" w:w="41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Prospectividad + incertidumbre + gráficos</w:t>
            </w:r>
          </w:p>
        </w:tc>
      </w:tr>
      <w:tr>
        <w:tc>
          <w:tcPr>
            <w:tcW w:type="dxa" w:w="11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7</w:t>
            </w:r>
          </w:p>
        </w:tc>
        <w:tc>
          <w:tcPr>
            <w:tcW w:type="dxa" w:w="500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Redacción y repositorio</w:t>
            </w:r>
          </w:p>
        </w:tc>
        <w:tc>
          <w:tcPr>
            <w:tcW w:type="dxa" w:w="4140"/>
            <w:tcBorders>
              <w:top w:val="single" w:color="999999" w:sz="1"/>
              <w:left w:val="single" w:color="999999" w:sz="1"/>
              <w:bottom w:val="single" w:color="999999" w:sz="1"/>
              <w:right w:val="single" w:color="999999" w:sz="1"/>
            </w:tcBorders>
            <w:tcMar>
              <w:top w:type="dxa" w:w="45"/>
              <w:left w:type="dxa" w:w="70"/>
              <w:bottom w:type="dxa" w:w="45"/>
              <w:right w:type="dxa" w:w="70"/>
            </w:tcMar>
          </w:tcPr>
          <w:p>
            <w:r>
              <w:rPr>
                <w:rFonts w:ascii="Arial" w:cs="Arial" w:eastAsia="Arial" w:hAnsi="Arial"/>
                <w:b w:val="false"/>
                <w:bCs w:val="false"/>
                <w:sz w:val="16"/>
                <w:szCs w:val="16"/>
              </w:rPr>
              <w:t xml:space="preserve">Manuscrito + código reproducible</w:t>
            </w:r>
          </w:p>
        </w:tc>
      </w:tr>
    </w:tbl>
    <w:p>
      <w:pPr>
        <w:pStyle w:val="Heading1"/>
        <w:spacing w:after="140" w:before="260"/>
      </w:pPr>
      <w:r>
        <w:rPr>
          <w:rFonts w:ascii="Arial" w:cs="Arial" w:eastAsia="Arial" w:hAnsi="Arial"/>
          <w:b/>
          <w:bCs/>
          <w:color w:val="1F4E79"/>
          <w:sz w:val="25"/>
          <w:szCs w:val="25"/>
        </w:rPr>
        <w:t xml:space="preserve">14. Limitaciones y consideraciones éticas</w:t>
      </w:r>
    </w:p>
    <w:p>
      <w:pPr>
        <w:spacing w:after="100" w:before="0" w:line="270"/>
        <w:jc w:val="both"/>
      </w:pPr>
      <w:r>
        <w:rPr>
          <w:rFonts w:ascii="Arial" w:cs="Arial" w:eastAsia="Arial" w:hAnsi="Arial"/>
          <w:b w:val="false"/>
          <w:bCs w:val="false"/>
          <w:i w:val="false"/>
          <w:iCs w:val="false"/>
          <w:sz w:val="21"/>
          <w:szCs w:val="21"/>
        </w:rPr>
        <w:t>El producto es una herramienta de priorización probabilística, no una garantía de hallazgo. Con N = 666 localidades independientes el alcance previsto es alcanzable, pero el estrato paleozoico (N = 34) queda restringido a un mapa de favorabilidad geológica, resultado válido y honesto que se reporta como tal. La difusión de zonas de alto potencial debe manejarse con criterio para no incentivar la extracción informal; el patrimonio paleontológico está protegido por ley y su recolección requiere autorización. Tres limitaciones adicionales, ya cuantificadas: el Mapa Geológico Integrado 1:50 000 cubre el 61 % del país y el resto se completa con la carta 1:100 000, cuya edad y ambiente se imputan por diccionario de unidades; el 21 % de las coordenadas tiene precisión de minutos, lo que fija la resolución en 2 km; y el índice de exposición de roca con Sentinel-2 no ha podido incorporarse.</w:t>
      </w:r>
    </w:p>
    <w:p>
      <w:pPr>
        <w:pStyle w:val="Heading1"/>
        <w:spacing w:after="140" w:before="260"/>
      </w:pPr>
      <w:r>
        <w:rPr>
          <w:rFonts w:ascii="Arial" w:cs="Arial" w:eastAsia="Arial" w:hAnsi="Arial"/>
          <w:b/>
          <w:bCs/>
          <w:color w:val="1F4E79"/>
          <w:sz w:val="25"/>
          <w:szCs w:val="25"/>
        </w:rPr>
        <w:t xml:space="preserve">15. Fuentes de datos (con enlaces) y literatura</w:t>
      </w:r>
    </w:p>
    <w:p>
      <w:pPr>
        <w:pStyle w:val="Heading2"/>
        <w:spacing w:after="100" w:before="200"/>
      </w:pPr>
      <w:r>
        <w:rPr>
          <w:rFonts w:ascii="Arial" w:cs="Arial" w:eastAsia="Arial" w:hAnsi="Arial"/>
          <w:b/>
          <w:bCs/>
          <w:color w:val="2F5496"/>
          <w:sz w:val="22"/>
          <w:szCs w:val="22"/>
        </w:rPr>
        <w:t xml:space="preserve">15.1 Cómo descargar los datos</w:t>
      </w:r>
    </w:p>
    <w:p>
      <w:pPr>
        <w:spacing w:after="80" w:before="160"/>
      </w:pPr>
      <w:r>
        <w:rPr>
          <w:rFonts w:ascii="Arial" w:cs="Arial" w:eastAsia="Arial" w:hAnsi="Arial"/>
          <w:b/>
          <w:bCs/>
          <w:color w:val="2F5496"/>
          <w:sz w:val="21"/>
          <w:szCs w:val="21"/>
        </w:rPr>
        <w:t xml:space="preserve">A. Localidades fósiles</w:t>
      </w:r>
    </w:p>
    <w:p>
      <w:pPr>
        <w:pStyle w:val="ListParagraph"/>
        <w:numPr>
          <w:ilvl w:val="0"/>
          <w:numId w:val="2"/>
        </w:numPr>
        <w:spacing w:after="55" w:line="260"/>
      </w:pPr>
      <w:r>
        <w:rPr>
          <w:rFonts w:ascii="Arial" w:cs="Arial" w:eastAsia="Arial" w:hAnsi="Arial"/>
          <w:b/>
          <w:bCs/>
          <w:sz w:val="19"/>
          <w:szCs w:val="19"/>
        </w:rPr>
        <w:t xml:space="preserve">PBDB — portal: </w:t>
      </w:r>
      <w:hyperlink w:history="1" r:id="rIdhyvps-uhvsdv8kaclqzkg">
        <w:r>
          <w:rPr>
            <w:rFonts w:ascii="Arial" w:cs="Arial" w:eastAsia="Arial" w:hAnsi="Arial"/>
            <w:color w:val="0563C1"/>
            <w:sz w:val="18"/>
            <w:szCs w:val="18"/>
            <w:u w:val="single"/>
          </w:rPr>
          <w:t xml:space="preserve">https://paleobiodb.org/</w:t>
        </w:r>
      </w:hyperlink>
    </w:p>
    <w:p>
      <w:pPr>
        <w:pStyle w:val="ListParagraph"/>
        <w:numPr>
          <w:ilvl w:val="0"/>
          <w:numId w:val="2"/>
        </w:numPr>
        <w:spacing w:after="55" w:line="260"/>
      </w:pPr>
      <w:r>
        <w:rPr>
          <w:rFonts w:ascii="Arial" w:cs="Arial" w:eastAsia="Arial" w:hAnsi="Arial"/>
          <w:b/>
          <w:bCs/>
          <w:sz w:val="19"/>
          <w:szCs w:val="19"/>
        </w:rPr>
        <w:t xml:space="preserve">PBDB — generador de descargas: </w:t>
      </w:r>
      <w:hyperlink w:history="1" r:id="rIdxsofnonfvv8buvbpbhiab">
        <w:r>
          <w:rPr>
            <w:rFonts w:ascii="Arial" w:cs="Arial" w:eastAsia="Arial" w:hAnsi="Arial"/>
            <w:color w:val="0563C1"/>
            <w:sz w:val="18"/>
            <w:szCs w:val="18"/>
            <w:u w:val="single"/>
          </w:rPr>
          <w:t xml:space="preserve">https://paleobiodb.org/classic/displayDownloadGenerator</w:t>
        </w:r>
      </w:hyperlink>
    </w:p>
    <w:p>
      <w:pPr>
        <w:pStyle w:val="ListParagraph"/>
        <w:numPr>
          <w:ilvl w:val="0"/>
          <w:numId w:val="2"/>
        </w:numPr>
        <w:spacing w:after="55" w:line="260"/>
      </w:pPr>
      <w:r>
        <w:rPr>
          <w:rFonts w:ascii="Arial" w:cs="Arial" w:eastAsia="Arial" w:hAnsi="Arial"/>
          <w:b/>
          <w:bCs/>
          <w:sz w:val="19"/>
          <w:szCs w:val="19"/>
        </w:rPr>
        <w:t xml:space="preserve">PBDB — API ejemplo Perú: </w:t>
      </w:r>
      <w:hyperlink w:history="1" r:id="rIdj9dyo5z9ugvv7zmgbffyp">
        <w:r>
          <w:rPr>
            <w:rFonts w:ascii="Arial" w:cs="Arial" w:eastAsia="Arial" w:hAnsi="Arial"/>
            <w:color w:val="0563C1"/>
            <w:sz w:val="18"/>
            <w:szCs w:val="18"/>
            <w:u w:val="single"/>
          </w:rPr>
          <w:t xml:space="preserve">https://paleobiodb.org/data1.2/occs/list.csv?cc=PE&amp;show=coords,loc,strat,lith,class,ident&amp;limit=all</w:t>
        </w:r>
      </w:hyperlink>
    </w:p>
    <w:p>
      <w:pPr>
        <w:pStyle w:val="ListParagraph"/>
        <w:numPr>
          <w:ilvl w:val="0"/>
          <w:numId w:val="2"/>
        </w:numPr>
        <w:spacing w:after="55" w:line="260"/>
      </w:pPr>
      <w:r>
        <w:rPr>
          <w:rFonts w:ascii="Arial" w:cs="Arial" w:eastAsia="Arial" w:hAnsi="Arial"/>
          <w:b/>
          <w:bCs/>
          <w:sz w:val="19"/>
          <w:szCs w:val="19"/>
        </w:rPr>
        <w:t xml:space="preserve">GBIF — fósiles Perú: </w:t>
      </w:r>
      <w:hyperlink w:history="1" r:id="rIdpkzu42g06gvle69cys4d-">
        <w:r>
          <w:rPr>
            <w:rFonts w:ascii="Arial" w:cs="Arial" w:eastAsia="Arial" w:hAnsi="Arial"/>
            <w:color w:val="0563C1"/>
            <w:sz w:val="18"/>
            <w:szCs w:val="18"/>
            <w:u w:val="single"/>
          </w:rPr>
          <w:t xml:space="preserve">https://www.gbif.org/occurrence/search?country=PE&amp;basis_of_record=FOSSIL_SPECIMEN</w:t>
        </w:r>
      </w:hyperlink>
    </w:p>
    <w:p>
      <w:pPr>
        <w:pStyle w:val="ListParagraph"/>
        <w:numPr>
          <w:ilvl w:val="0"/>
          <w:numId w:val="2"/>
        </w:numPr>
        <w:spacing w:after="55" w:line="260"/>
      </w:pPr>
      <w:r>
        <w:rPr>
          <w:rFonts w:ascii="Arial" w:cs="Arial" w:eastAsia="Arial" w:hAnsi="Arial"/>
          <w:b/>
          <w:bCs/>
          <w:sz w:val="19"/>
          <w:szCs w:val="19"/>
        </w:rPr>
        <w:t xml:space="preserve">INGEMMET — catálogo paleontológico: </w:t>
      </w:r>
      <w:hyperlink w:history="1" r:id="rIdstupdowro7dvtgvvk3ha3">
        <w:r>
          <w:rPr>
            <w:rFonts w:ascii="Arial" w:cs="Arial" w:eastAsia="Arial" w:hAnsi="Arial"/>
            <w:color w:val="0563C1"/>
            <w:sz w:val="18"/>
            <w:szCs w:val="18"/>
            <w:u w:val="single"/>
          </w:rPr>
          <w:t xml:space="preserve">https://geocatminapp.ingemmet.gob.pe/fosilcgperu/</w:t>
        </w:r>
      </w:hyperlink>
    </w:p>
    <w:p>
      <w:pPr>
        <w:pStyle w:val="ListParagraph"/>
        <w:numPr>
          <w:ilvl w:val="0"/>
          <w:numId w:val="2"/>
        </w:numPr>
        <w:spacing w:after="55" w:line="260"/>
      </w:pPr>
      <w:r>
        <w:rPr>
          <w:rFonts w:ascii="Arial" w:cs="Arial" w:eastAsia="Arial" w:hAnsi="Arial"/>
          <w:b/>
          <w:bCs/>
          <w:sz w:val="19"/>
          <w:szCs w:val="19"/>
        </w:rPr>
        <w:t xml:space="preserve">INGEMMET — servicio catálogo: </w:t>
      </w:r>
      <w:hyperlink w:history="1" r:id="rIdwisip8vlahhrn0qq4f-xt">
        <w:r>
          <w:rPr>
            <w:rFonts w:ascii="Arial" w:cs="Arial" w:eastAsia="Arial" w:hAnsi="Arial"/>
            <w:color w:val="0563C1"/>
            <w:sz w:val="18"/>
            <w:szCs w:val="18"/>
            <w:u w:val="single"/>
          </w:rPr>
          <w:t xml:space="preserve">https://www.gob.pe/15376</w:t>
        </w:r>
      </w:hyperlink>
    </w:p>
    <w:p>
      <w:pPr>
        <w:spacing w:after="80" w:before="160"/>
      </w:pPr>
      <w:r>
        <w:rPr>
          <w:rFonts w:ascii="Arial" w:cs="Arial" w:eastAsia="Arial" w:hAnsi="Arial"/>
          <w:b/>
          <w:bCs/>
          <w:color w:val="2F5496"/>
          <w:sz w:val="21"/>
          <w:szCs w:val="21"/>
        </w:rPr>
        <w:t xml:space="preserve">B. Geología</w:t>
      </w:r>
    </w:p>
    <w:p>
      <w:pPr>
        <w:pStyle w:val="ListParagraph"/>
        <w:numPr>
          <w:ilvl w:val="0"/>
          <w:numId w:val="2"/>
        </w:numPr>
        <w:spacing w:after="55" w:line="260"/>
      </w:pPr>
      <w:r>
        <w:rPr>
          <w:rFonts w:ascii="Arial" w:cs="Arial" w:eastAsia="Arial" w:hAnsi="Arial"/>
          <w:b/>
          <w:bCs/>
          <w:sz w:val="19"/>
          <w:szCs w:val="19"/>
        </w:rPr>
        <w:t>GEOCATMIN — API REST abierta: https://geocatmin.ingemmet.gob.pe/arcgis/rest/services (SERV_GEOLOGIA_50K_INTEGRADA capa 7 = Mapa Integrado 1:50 000; SERV_MAPAS_GEOLOGICOS capa 11 = carta 1:100 000). El servicio no admite paginación: se itera por rangos de OBJECTID.</w:t>
      </w:r>
      <w:hyperlink w:history="1" r:id="rIdhapefad0i4dyrfhj2zrbk">
        <w:r>
          <w:rPr>
            <w:rFonts w:ascii="Arial" w:cs="Arial" w:eastAsia="Arial" w:hAnsi="Arial"/>
            <w:color w:val="0563C1"/>
            <w:sz w:val="18"/>
            <w:szCs w:val="18"/>
            <w:u w:val="single"/>
          </w:rPr>
          <w:t xml:space="preserve">https://geocatmin.ingemmet.gob.pe/</w:t>
        </w:r>
      </w:hyperlink>
    </w:p>
    <w:p>
      <w:pPr>
        <w:pStyle w:val="ListParagraph"/>
        <w:numPr>
          <w:ilvl w:val="0"/>
          <w:numId w:val="2"/>
        </w:numPr>
        <w:spacing w:after="55" w:line="260"/>
      </w:pPr>
      <w:r>
        <w:rPr>
          <w:rFonts w:ascii="Arial" w:cs="Arial" w:eastAsia="Arial" w:hAnsi="Arial"/>
          <w:b/>
          <w:bCs/>
          <w:sz w:val="19"/>
          <w:szCs w:val="19"/>
        </w:rPr>
        <w:t xml:space="preserve">Carta Geológica Nacional: </w:t>
      </w:r>
      <w:hyperlink w:history="1" r:id="rId2sbsrmbu7t8lcx3pk1xab">
        <w:r>
          <w:rPr>
            <w:rFonts w:ascii="Arial" w:cs="Arial" w:eastAsia="Arial" w:hAnsi="Arial"/>
            <w:color w:val="0563C1"/>
            <w:sz w:val="18"/>
            <w:szCs w:val="18"/>
            <w:u w:val="single"/>
          </w:rPr>
          <w:t xml:space="preserve">https://www.ingemmet.gob.pe/carta-geologica-nacional</w:t>
        </w:r>
      </w:hyperlink>
    </w:p>
    <w:p>
      <w:pPr>
        <w:spacing w:after="80" w:before="160"/>
      </w:pPr>
      <w:r>
        <w:rPr>
          <w:rFonts w:ascii="Arial" w:cs="Arial" w:eastAsia="Arial" w:hAnsi="Arial"/>
          <w:b/>
          <w:bCs/>
          <w:color w:val="2F5496"/>
          <w:sz w:val="21"/>
          <w:szCs w:val="21"/>
        </w:rPr>
        <w:t xml:space="preserve">C. Teledetección</w:t>
      </w:r>
    </w:p>
    <w:p>
      <w:pPr>
        <w:pStyle w:val="ListParagraph"/>
        <w:numPr>
          <w:ilvl w:val="0"/>
          <w:numId w:val="2"/>
        </w:numPr>
        <w:spacing w:after="55" w:line="260"/>
      </w:pPr>
      <w:r>
        <w:rPr>
          <w:rFonts w:ascii="Arial" w:cs="Arial" w:eastAsia="Arial" w:hAnsi="Arial"/>
          <w:b/>
          <w:bCs/>
          <w:sz w:val="19"/>
          <w:szCs w:val="19"/>
        </w:rPr>
        <w:t xml:space="preserve">Google Earth Engine: </w:t>
      </w:r>
      <w:hyperlink w:history="1" r:id="rId530byndex_4ohqurvrln5">
        <w:r>
          <w:rPr>
            <w:rFonts w:ascii="Arial" w:cs="Arial" w:eastAsia="Arial" w:hAnsi="Arial"/>
            <w:color w:val="0563C1"/>
            <w:sz w:val="18"/>
            <w:szCs w:val="18"/>
            <w:u w:val="single"/>
          </w:rPr>
          <w:t xml:space="preserve">https://code.earthengine.google.com/</w:t>
        </w:r>
      </w:hyperlink>
    </w:p>
    <w:p>
      <w:pPr>
        <w:spacing w:after="100" w:before="0" w:line="270"/>
        <w:jc w:val="both"/>
      </w:pPr>
      <w:r>
        <w:rPr>
          <w:rFonts w:ascii="Arial" w:cs="Arial" w:eastAsia="Arial" w:hAnsi="Arial"/>
          <w:b w:val="false"/>
          <w:bCs w:val="false"/>
          <w:i w:val="false"/>
          <w:iCs w:val="false"/>
          <w:sz w:val="19"/>
          <w:szCs w:val="19"/>
        </w:rPr>
        <w:t xml:space="preserve">Colecciones: COPERNICUS/S2_SR (Sentinel-2) y COPERNICUS/DEM/GLO30 o USGS/SRTMGL1_003 (elevación).</w:t>
      </w:r>
    </w:p>
    <w:p>
      <w:pPr>
        <w:spacing w:after="80" w:before="160"/>
      </w:pPr>
      <w:r>
        <w:rPr>
          <w:rFonts w:ascii="Arial" w:cs="Arial" w:eastAsia="Arial" w:hAnsi="Arial"/>
          <w:b/>
          <w:bCs/>
          <w:color w:val="2F5496"/>
          <w:sz w:val="21"/>
          <w:szCs w:val="21"/>
        </w:rPr>
        <w:t xml:space="preserve">D. Accesibilidad y bases</w:t>
      </w:r>
    </w:p>
    <w:p>
      <w:pPr>
        <w:pStyle w:val="ListParagraph"/>
        <w:numPr>
          <w:ilvl w:val="0"/>
          <w:numId w:val="2"/>
        </w:numPr>
        <w:spacing w:after="55" w:line="260"/>
      </w:pPr>
      <w:r>
        <w:rPr>
          <w:rFonts w:ascii="Arial" w:cs="Arial" w:eastAsia="Arial" w:hAnsi="Arial"/>
          <w:b/>
          <w:bCs/>
          <w:sz w:val="19"/>
          <w:szCs w:val="19"/>
        </w:rPr>
        <w:t xml:space="preserve">OSM carreteras Perú (HDX): </w:t>
      </w:r>
      <w:hyperlink w:history="1" r:id="rId4ve_ttmrqjfv_3tcnxhlq">
        <w:r>
          <w:rPr>
            <w:rFonts w:ascii="Arial" w:cs="Arial" w:eastAsia="Arial" w:hAnsi="Arial"/>
            <w:color w:val="0563C1"/>
            <w:sz w:val="18"/>
            <w:szCs w:val="18"/>
            <w:u w:val="single"/>
          </w:rPr>
          <w:t xml:space="preserve">https://data.humdata.org/dataset/hotosm_per_roads</w:t>
        </w:r>
      </w:hyperlink>
    </w:p>
    <w:p>
      <w:pPr>
        <w:pStyle w:val="ListParagraph"/>
        <w:numPr>
          <w:ilvl w:val="0"/>
          <w:numId w:val="2"/>
        </w:numPr>
        <w:spacing w:after="55" w:line="260"/>
      </w:pPr>
      <w:r>
        <w:rPr>
          <w:rFonts w:ascii="Arial" w:cs="Arial" w:eastAsia="Arial" w:hAnsi="Arial"/>
          <w:b/>
          <w:bCs/>
          <w:sz w:val="19"/>
          <w:szCs w:val="19"/>
        </w:rPr>
        <w:t xml:space="preserve">IDEP / IGN: </w:t>
      </w:r>
      <w:hyperlink w:history="1" r:id="rId66ylwnh0cce0f0t3jtnyv">
        <w:r>
          <w:rPr>
            <w:rFonts w:ascii="Arial" w:cs="Arial" w:eastAsia="Arial" w:hAnsi="Arial"/>
            <w:color w:val="0563C1"/>
            <w:sz w:val="18"/>
            <w:szCs w:val="18"/>
            <w:u w:val="single"/>
          </w:rPr>
          <w:t xml:space="preserve">https://www.idep.gob.pe/</w:t>
        </w:r>
      </w:hyperlink>
    </w:p>
    <w:p>
      <w:pPr>
        <w:pStyle w:val="ListParagraph"/>
        <w:numPr>
          <w:ilvl w:val="0"/>
          <w:numId w:val="2"/>
        </w:numPr>
        <w:spacing w:after="55" w:line="260"/>
      </w:pPr>
      <w:r>
        <w:rPr>
          <w:rFonts w:ascii="Arial" w:cs="Arial" w:eastAsia="Arial" w:hAnsi="Arial"/>
          <w:b/>
          <w:bCs/>
          <w:sz w:val="19"/>
          <w:szCs w:val="19"/>
        </w:rPr>
        <w:t xml:space="preserve">ANA: </w:t>
      </w:r>
      <w:hyperlink w:history="1" r:id="rIdpxka2oyrmdwcpscrsdshi">
        <w:r>
          <w:rPr>
            <w:rFonts w:ascii="Arial" w:cs="Arial" w:eastAsia="Arial" w:hAnsi="Arial"/>
            <w:color w:val="0563C1"/>
            <w:sz w:val="18"/>
            <w:szCs w:val="18"/>
            <w:u w:val="single"/>
          </w:rPr>
          <w:t xml:space="preserve">https://www.ana.gob.pe/</w:t>
        </w:r>
      </w:hyperlink>
    </w:p>
    <w:p>
      <w:pPr>
        <w:pStyle w:val="ListParagraph"/>
        <w:numPr>
          <w:ilvl w:val="0"/>
          <w:numId w:val="2"/>
        </w:numPr>
        <w:spacing w:after="55" w:line="260"/>
      </w:pPr>
      <w:r>
        <w:rPr>
          <w:rFonts w:ascii="Arial" w:cs="Arial" w:eastAsia="Arial" w:hAnsi="Arial"/>
          <w:b/>
          <w:bCs/>
          <w:sz w:val="19"/>
          <w:szCs w:val="19"/>
        </w:rPr>
        <w:t xml:space="preserve">MTC: </w:t>
      </w:r>
      <w:hyperlink w:history="1" r:id="rIdybvb6ew1myhy4xg02m0k3">
        <w:r>
          <w:rPr>
            <w:rFonts w:ascii="Arial" w:cs="Arial" w:eastAsia="Arial" w:hAnsi="Arial"/>
            <w:color w:val="0563C1"/>
            <w:sz w:val="18"/>
            <w:szCs w:val="18"/>
            <w:u w:val="single"/>
          </w:rPr>
          <w:t xml:space="preserve">https://portal.mtc.gob.pe/</w:t>
        </w:r>
      </w:hyperlink>
    </w:p>
    <w:p>
      <w:pPr>
        <w:spacing w:after="100" w:before="0" w:line="270"/>
        <w:jc w:val="both"/>
      </w:pPr>
      <w:r>
        <w:rPr>
          <w:rFonts w:ascii="Arial" w:cs="Arial" w:eastAsia="Arial" w:hAnsi="Arial"/>
          <w:b w:val="false"/>
          <w:bCs w:val="false"/>
          <w:i/>
          <w:iCs/>
          <w:sz w:val="19"/>
          <w:szCs w:val="19"/>
        </w:rPr>
        <w:t>Nota: la base paleontológica completa de INGEMMET puede requerir solicitud formal. PBDB y GBIF permiten descarga inmediata. Al 18 de agosto de 2026 se descargaron 6 933 ocurrencias de PBDB y 4 465 de GBIF con coordenadas; tras unificación, filtro territorial y deduplicación a 2 km resultan 666 localidades independientes. GBIF aporta unas 185 localidades ausentes en PBDB, por lo que la integración de ambas fuentes no es redundante.</w:t>
      </w:r>
    </w:p>
    <w:p>
      <w:pPr>
        <w:pStyle w:val="Heading2"/>
        <w:spacing w:after="100" w:before="200"/>
      </w:pPr>
      <w:r>
        <w:rPr>
          <w:rFonts w:ascii="Arial" w:cs="Arial" w:eastAsia="Arial" w:hAnsi="Arial"/>
          <w:b/>
          <w:bCs/>
          <w:color w:val="2F5496"/>
          <w:sz w:val="22"/>
          <w:szCs w:val="22"/>
        </w:rPr>
        <w:t xml:space="preserve">15.2 Literatura metodológica clave</w:t>
      </w:r>
    </w:p>
    <w:p>
      <w:pPr>
        <w:pStyle w:val="ListParagraph"/>
        <w:numPr>
          <w:ilvl w:val="0"/>
          <w:numId w:val="2"/>
        </w:numPr>
        <w:spacing w:after="70" w:line="270"/>
      </w:pPr>
      <w:r>
        <w:rPr>
          <w:rFonts w:ascii="Arial" w:cs="Arial" w:eastAsia="Arial" w:hAnsi="Arial"/>
          <w:sz w:val="21"/>
          <w:szCs w:val="21"/>
        </w:rPr>
        <w:t xml:space="preserve">Anemone, Emerson &amp; Conroy — predicción de localidades fósiles (Evolutionary Anthropology).</w:t>
      </w:r>
    </w:p>
    <w:p>
      <w:pPr>
        <w:pStyle w:val="ListParagraph"/>
        <w:numPr>
          <w:ilvl w:val="0"/>
          <w:numId w:val="2"/>
        </w:numPr>
        <w:spacing w:after="70" w:line="270"/>
      </w:pPr>
      <w:r>
        <w:rPr>
          <w:rFonts w:ascii="Arial" w:cs="Arial" w:eastAsia="Arial" w:hAnsi="Arial"/>
          <w:sz w:val="21"/>
          <w:szCs w:val="21"/>
        </w:rPr>
        <w:t xml:space="preserve">Phillips, Anderson &amp; Schapire — MaxEnt (Ecological Modelling).</w:t>
      </w:r>
    </w:p>
    <w:p>
      <w:pPr>
        <w:pStyle w:val="ListParagraph"/>
        <w:numPr>
          <w:ilvl w:val="0"/>
          <w:numId w:val="2"/>
        </w:numPr>
        <w:spacing w:after="70" w:line="270"/>
      </w:pPr>
      <w:r>
        <w:rPr>
          <w:rFonts w:ascii="Arial" w:cs="Arial" w:eastAsia="Arial" w:hAnsi="Arial"/>
          <w:sz w:val="21"/>
          <w:szCs w:val="21"/>
        </w:rPr>
        <w:t xml:space="preserve">Roberts et al. — validación cruzada con estructura espacial (Ecography).</w:t>
      </w:r>
    </w:p>
    <w:p>
      <w:pPr>
        <w:pStyle w:val="ListParagraph"/>
        <w:numPr>
          <w:ilvl w:val="0"/>
          <w:numId w:val="2"/>
        </w:numPr>
        <w:spacing w:after="70" w:line="270"/>
      </w:pPr>
      <w:r>
        <w:rPr>
          <w:rFonts w:ascii="Arial" w:cs="Arial" w:eastAsia="Arial" w:hAnsi="Arial"/>
          <w:sz w:val="21"/>
          <w:szCs w:val="21"/>
        </w:rPr>
        <w:t xml:space="preserve">Sistema PFYC (Potential Fossil Yield Classification) del BLM (EE. UU.).</w:t>
      </w:r>
    </w:p>
    <w:p>
      <w:pPr>
        <w:pStyle w:val="ListParagraph"/>
        <w:numPr>
          <w:ilvl w:val="0"/>
          <w:numId w:val="2"/>
        </w:numPr>
        <w:spacing w:after="70" w:line="270"/>
      </w:pPr>
      <w:r>
        <w:rPr>
          <w:rFonts w:ascii="Arial" w:cs="Arial" w:eastAsia="Arial" w:hAnsi="Arial"/>
          <w:sz w:val="21"/>
          <w:szCs w:val="21"/>
        </w:rPr>
        <w:t xml:space="preserve">Bibliografía peruana de referencia: titanosaurios y espinosaurios de la cuenca de Bagua (MHN–UNMSM).</w:t>
      </w:r>
    </w:p>
    <w:p>
      <w:pPr>
        <w:spacing w:before="280"/>
        <w:jc w:val="center"/>
      </w:pPr>
      <w:r>
        <w:rPr>
          <w:rFonts w:ascii="Arial" w:cs="Arial" w:eastAsia="Arial" w:hAnsi="Arial"/>
          <w:i/>
          <w:iCs/>
          <w:color w:val="555555"/>
          <w:sz w:val="17"/>
          <w:szCs w:val="17"/>
        </w:rPr>
        <w:t>Documento de trabajo — versión 1.5</w:t>
      </w:r>
    </w:p>
    <w:p>
      <w:pPr>
        <w:spacing w:before="40"/>
        <w:jc w:val="center"/>
      </w:pPr>
      <w:r>
        <w:rPr>
          <w:rFonts w:ascii="Arial" w:cs="Arial" w:eastAsia="Arial" w:hAnsi="Arial"/>
          <w:color w:val="555555"/>
          <w:sz w:val="16"/>
          <w:szCs w:val="16"/>
        </w:rPr>
        <w:t xml:space="preserve">Implementación: R + RStudio  |  Teledetección: Google Earth Engine</w:t>
      </w:r>
    </w:p>
    <w:p>
      <w:pPr>
        <w:spacing w:before="40"/>
        <w:jc w:val="center"/>
      </w:pPr>
      <w:r>
        <w:rPr>
          <w:rFonts w:ascii="Arial" w:cs="Arial" w:eastAsia="Arial" w:hAnsi="Arial"/>
          <w:color w:val="555555"/>
          <w:sz w:val="16"/>
          <w:szCs w:val="16"/>
        </w:rPr>
        <w:t>Fases 0 a 5 ejecutadas. Modelo final: Gradient Boosting, AUC 0,859 con bloqueo espacial.</w:t>
      </w:r>
    </w:p>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5"/>
        <w:szCs w:val="15"/>
      </w:rPr>
      <w:t xml:space="preserve">Pág. </w:t>
    </w:r>
    <w:r>
      <w:rPr>
        <w:rFonts w:ascii="Arial" w:cs="Arial" w:eastAsia="Arial" w:hAnsi="Arial"/>
        <w:color w:val="666666"/>
        <w:sz w:val="15"/>
        <w:szCs w:val="15"/>
      </w:rPr>
      <w:fldChar w:fldCharType="begin"/>
      <w:instrText xml:space="preserve">PAGE</w:instrText>
      <w:fldChar w:fldCharType="separate"/>
      <w:fldChar w:fldCharType="end"/>
    </w:r>
    <w:r>
      <w:rPr>
        <w:rFonts w:ascii="Arial" w:cs="Arial" w:eastAsia="Arial" w:hAnsi="Arial"/>
        <w:color w:val="666666"/>
        <w:sz w:val="15"/>
        <w:szCs w:val="15"/>
      </w:rPr>
      <w:t xml:space="preserve"> | Documento de trabajo — R + RStudio | sujeto a revisión tras censo de viabilidad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5"/>
        <w:szCs w:val="15"/>
      </w:rPr>
      <w:t xml:space="preserve">Anteproyecto — Prospectividad paleontológica Perú | v1.3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1F4E79"/>
      <w:sz w:val="25"/>
      <w:szCs w:val="25"/>
    </w:rPr>
  </w:style>
  <w:style w:type="paragraph" w:styleId="Heading2">
    <w:name w:val="Heading 2"/>
    <w:basedOn w:val="Normal"/>
    <w:next w:val="Normal"/>
    <w:qFormat/>
    <w:pPr>
      <w:spacing w:after="100" w:before="200"/>
      <w:outlineLvl w:val="1"/>
    </w:pPr>
    <w:rPr>
      <w:rFonts w:ascii="Arial" w:cs="Arial" w:eastAsia="Arial" w:hAnsi="Arial"/>
      <w:b/>
      <w:bCs/>
      <w:color w:val="2F549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hyvps-uhvsdv8kaclqzkg" Type="http://schemas.openxmlformats.org/officeDocument/2006/relationships/hyperlink" Target="https://paleobiodb.org/" TargetMode="External"/><Relationship Id="rIdxsofnonfvv8buvbpbhiab" Type="http://schemas.openxmlformats.org/officeDocument/2006/relationships/hyperlink" Target="https://paleobiodb.org/classic/displayDownloadGenerator" TargetMode="External"/><Relationship Id="rIdj9dyo5z9ugvv7zmgbffyp" Type="http://schemas.openxmlformats.org/officeDocument/2006/relationships/hyperlink" Target="https://paleobiodb.org/data1.2/occs/list.csv?cc=PE&amp;show=coords,loc,strat,lith,class,ident&amp;limit=all" TargetMode="External"/><Relationship Id="rIdpkzu42g06gvle69cys4d-" Type="http://schemas.openxmlformats.org/officeDocument/2006/relationships/hyperlink" Target="https://www.gbif.org/occurrence/search?country=PE&amp;basis_of_record=FOSSIL_SPECIMEN" TargetMode="External"/><Relationship Id="rIdstupdowro7dvtgvvk3ha3" Type="http://schemas.openxmlformats.org/officeDocument/2006/relationships/hyperlink" Target="https://geocatminapp.ingemmet.gob.pe/fosilcgperu/" TargetMode="External"/><Relationship Id="rIdwisip8vlahhrn0qq4f-xt" Type="http://schemas.openxmlformats.org/officeDocument/2006/relationships/hyperlink" Target="https://www.gob.pe/15376" TargetMode="External"/><Relationship Id="rIdhapefad0i4dyrfhj2zrbk" Type="http://schemas.openxmlformats.org/officeDocument/2006/relationships/hyperlink" Target="https://geocatmin.ingemmet.gob.pe/" TargetMode="External"/><Relationship Id="rId2sbsrmbu7t8lcx3pk1xab" Type="http://schemas.openxmlformats.org/officeDocument/2006/relationships/hyperlink" Target="https://www.ingemmet.gob.pe/carta-geologica-nacional" TargetMode="External"/><Relationship Id="rId530byndex_4ohqurvrln5" Type="http://schemas.openxmlformats.org/officeDocument/2006/relationships/hyperlink" Target="https://code.earthengine.google.com/" TargetMode="External"/><Relationship Id="rId4ve_ttmrqjfv_3tcnxhlq" Type="http://schemas.openxmlformats.org/officeDocument/2006/relationships/hyperlink" Target="https://data.humdata.org/dataset/hotosm_per_roads" TargetMode="External"/><Relationship Id="rId66ylwnh0cce0f0t3jtnyv" Type="http://schemas.openxmlformats.org/officeDocument/2006/relationships/hyperlink" Target="https://www.idep.gob.pe/" TargetMode="External"/><Relationship Id="rIdpxka2oyrmdwcpscrsdshi" Type="http://schemas.openxmlformats.org/officeDocument/2006/relationships/hyperlink" Target="https://www.ana.gob.pe/" TargetMode="External"/><Relationship Id="rIdybvb6ew1myhy4xg02m0k3" Type="http://schemas.openxmlformats.org/officeDocument/2006/relationships/hyperlink" Target="https://portal.mtc.gob.pe/" TargetMode="External"/><Relationship Id="rId2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2026-08-05T16:05:33.713Z</dcterms:created>
  <dcterms:modified xsi:type="dcterms:W3CDTF">2026-08-05T16:05:33.713Z</dcterms:modified>
</cp:coreProperties>
</file>

<file path=docProps/custom.xml><?xml version="1.0" encoding="utf-8"?>
<Properties xmlns="http://schemas.openxmlformats.org/officeDocument/2006/custom-properties" xmlns:vt="http://schemas.openxmlformats.org/officeDocument/2006/docPropsVTypes"/>
</file>