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Ejercicio de Análisis de Resultados – EJERCICIO 2</w:t>
      </w:r>
    </w:p>
    <w:p>
      <w:pPr>
        <w:pStyle w:val="Heading2"/>
      </w:pPr>
      <w:r>
        <w:t>1. Hallazgos</w:t>
      </w:r>
    </w:p>
    <w:p>
      <w:r>
        <w:t>- El check 'status es 200' falló en el 100% de los casos (0 de 1201 respuestas tuvieron código 200). Esto indica que el endpoint no respondió con el código esperado.</w:t>
        <w:br/>
        <w:t>- El check 'respuesta contiene token' fue exitoso, lo que significa que el servicio devolvió un objeto con el campo token, aunque el status HTTP no fuera 200.</w:t>
        <w:br/>
        <w:t>- El tiempo de respuesta promedio fue de 380 ms, con un máximo de 990 ms → todos los tiempos estuvieron dentro del umbral de 1.5s, cumpliendo con el SLA definido.</w:t>
        <w:br/>
        <w:t>- La tasa de errores (http_req_failed) fue 0% → no hubo fallos de conexión ni timeouts.</w:t>
        <w:br/>
        <w:t>- El sistema manejó 1201 peticiones en 1 minuto, lo que representa un promedio de ~19.5 TPS, muy cercano al objetivo de 20 TPS.</w:t>
        <w:br/>
        <w:t>- El número de usuarios virtuales fluctuó entre 9 y 32 VUs, con un máximo permitido de 50 VUs, lo que significa que el sistema no saturó todos los recursos asignados.</w:t>
      </w:r>
    </w:p>
    <w:p>
      <w:pPr>
        <w:pStyle w:val="Heading2"/>
      </w:pPr>
      <w:r>
        <w:t>2. Conclusiones</w:t>
      </w:r>
    </w:p>
    <w:p>
      <w:r>
        <w:t>- El servicio respondió dentro de los límites de tiempo definidos (&lt;1.5s) y con 0% de fallos en las peticiones.</w:t>
        <w:br/>
        <w:t>- Sin embargo, el código de respuesta HTTP (status 200) no fue devuelto en ningún caso, lo que sugiere un problema de validación de la API o un posible cambio en el contrato esperado (por ejemplo, puede estar devolviendo 201, 401 o 403).</w:t>
        <w:br/>
        <w:t>- Los resultados demuestran que, aunque la infraestructura soporta la carga de ~20 TPS sin degradación de tiempos de respuesta, la API no está respondiendo con el estado esperado, lo que representa un defecto funcional más que un problema de performance.</w:t>
      </w:r>
    </w:p>
    <w:p>
      <w:pPr>
        <w:pStyle w:val="Heading2"/>
      </w:pPr>
      <w:r>
        <w:t>3. Recomendaciones</w:t>
      </w:r>
    </w:p>
    <w:p>
      <w:r>
        <w:t>1. Revisar la especificación de la API para confirmar cuál debería ser el código de respuesta esperado al hacer login exitoso.</w:t>
        <w:br/>
        <w:t>2. Ajustar el script de K6 en la validación de status para aceptar el código correcto (si no es 200, podría ser 201).</w:t>
        <w:br/>
        <w:t>3. Ejecutar una nueva prueba tras corregir la validación de status, confirmando que el sistema sigue cumpliendo con:</w:t>
        <w:br/>
        <w:t xml:space="preserve">   - Latencia &lt; 1.5s en el 95% de las peticiones.</w:t>
        <w:br/>
        <w:t xml:space="preserve">   - Tasa de error &lt; 3%.</w:t>
        <w:br/>
        <w:t xml:space="preserve">   - Soporte estable de 20 TPS.</w:t>
        <w:br/>
        <w:t>4. Monitorear en pruebas futuras el consumo de CPU y memoria del servidor para complementar el análisis de performance.</w:t>
      </w:r>
    </w:p>
    <w:p>
      <w:pPr>
        <w:pStyle w:val="Heading2"/>
      </w:pPr>
      <w:r>
        <w:t>4. Análisis del diagrama (VUs vs TPS)</w:t>
      </w:r>
    </w:p>
    <w:p>
      <w:r>
        <w:t>- El diagrama del monitoreo muestra que, conforme se incrementó el número de usuarios virtuales (hasta ~32 VUs), el sistema mantuvo estable el número de peticiones por segundo (~19.5 TPS).</w:t>
        <w:br/>
        <w:t>- Esto indica que la infraestructura tiene capacidad de escala horizontal, manteniendo la tasa de TPS con un incremento de usuarios.</w:t>
        <w:br/>
        <w:t>- No se observó saturación ni pérdida de rendimiento significativo durante la prueba.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