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/>
        <w:jc w:val="center"/>
      </w:pPr>
      <w:r>
        <w:rPr>
          <w:rFonts w:ascii="Times New Roman" w:hAnsi="Times New Roman"/>
          <w:b/>
          <w:color w:val="000000"/>
          <w:sz w:val="26"/>
        </w:rPr>
        <w:t>UNIVERSIDAD / INSTITUCIÓN</w:t>
      </w:r>
    </w:p>
    <w:p>
      <w:pPr>
        <w:jc w:val="center"/>
      </w:pPr>
      <w:r>
        <w:rPr>
          <w:rFonts w:ascii="Times New Roman" w:hAnsi="Times New Roman"/>
          <w:color w:val="000000"/>
          <w:sz w:val="24"/>
        </w:rPr>
        <w:t>[Completar nombre de la institución]</w:t>
      </w:r>
    </w:p>
    <w:p>
      <w:pPr>
        <w:spacing w:before="760"/>
        <w:jc w:val="center"/>
      </w:pPr>
      <w:r>
        <w:rPr>
          <w:rFonts w:ascii="Times New Roman" w:hAnsi="Times New Roman"/>
          <w:b/>
          <w:color w:val="000000"/>
          <w:sz w:val="40"/>
        </w:rPr>
        <w:t>SAM-LANG STUDIO</w:t>
      </w:r>
    </w:p>
    <w:p>
      <w:pPr>
        <w:jc w:val="center"/>
      </w:pPr>
      <w:r>
        <w:rPr>
          <w:rFonts w:ascii="Times New Roman" w:hAnsi="Times New Roman"/>
          <w:b/>
          <w:color w:val="000000"/>
          <w:sz w:val="26"/>
        </w:rPr>
        <w:t>Compilador e intérprete de agentes con IA multimodelo</w:t>
      </w:r>
    </w:p>
    <w:p>
      <w:pPr>
        <w:spacing w:before="560"/>
        <w:jc w:val="center"/>
      </w:pPr>
      <w:r>
        <w:rPr>
          <w:rFonts w:ascii="Times New Roman" w:hAnsi="Times New Roman"/>
          <w:b/>
          <w:color w:val="000000"/>
          <w:sz w:val="36"/>
        </w:rPr>
        <w:t>MANUAL DE USUARIO</w:t>
      </w:r>
    </w:p>
    <w:p>
      <w:pPr>
        <w:jc w:val="center"/>
      </w:pPr>
      <w:r>
        <w:rPr>
          <w:rFonts w:ascii="Times New Roman" w:hAnsi="Times New Roman"/>
          <w:i/>
          <w:color w:val="000000"/>
          <w:sz w:val="24"/>
        </w:rPr>
        <w:t>Guía completa de operación, interpretación de resultados y solución de problemas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r/>
            <w:r>
              <w:rPr>
                <w:rFonts w:ascii="Times New Roman" w:hAnsi="Times New Roman"/>
                <w:b/>
                <w:color w:val="000000"/>
                <w:sz w:val="21"/>
              </w:rPr>
              <w:t>Curso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 w:val="0"/>
                <w:color w:val="000000"/>
                <w:sz w:val="21"/>
              </w:rPr>
              <w:t>Compiladores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r/>
            <w:r>
              <w:rPr>
                <w:rFonts w:ascii="Times New Roman" w:hAnsi="Times New Roman"/>
                <w:b/>
                <w:color w:val="000000"/>
                <w:sz w:val="21"/>
              </w:rPr>
              <w:t>Docente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 w:val="0"/>
                <w:color w:val="000000"/>
                <w:sz w:val="21"/>
              </w:rPr>
              <w:t>[Completar]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r/>
            <w:r>
              <w:rPr>
                <w:rFonts w:ascii="Times New Roman" w:hAnsi="Times New Roman"/>
                <w:b/>
                <w:color w:val="000000"/>
                <w:sz w:val="21"/>
              </w:rPr>
              <w:t>Integrantes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 w:val="0"/>
                <w:color w:val="000000"/>
                <w:sz w:val="21"/>
              </w:rPr>
              <w:t>[Completar nombres y códigos]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r/>
            <w:r>
              <w:rPr>
                <w:rFonts w:ascii="Times New Roman" w:hAnsi="Times New Roman"/>
                <w:b/>
                <w:color w:val="000000"/>
                <w:sz w:val="21"/>
              </w:rPr>
              <w:t>Versión del sistema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 w:val="0"/>
                <w:color w:val="000000"/>
                <w:sz w:val="21"/>
              </w:rPr>
              <w:t>2.0.0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r/>
            <w:r>
              <w:rPr>
                <w:rFonts w:ascii="Times New Roman" w:hAnsi="Times New Roman"/>
                <w:b/>
                <w:color w:val="000000"/>
                <w:sz w:val="21"/>
              </w:rPr>
              <w:t>URL pública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 w:val="0"/>
                <w:color w:val="000000"/>
                <w:sz w:val="21"/>
              </w:rPr>
              <w:t>[Completar cuando el proyecto sea desplegado]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r/>
            <w:r>
              <w:rPr>
                <w:rFonts w:ascii="Times New Roman" w:hAnsi="Times New Roman"/>
                <w:b/>
                <w:color w:val="000000"/>
                <w:sz w:val="21"/>
              </w:rPr>
              <w:t>Lugar y fecha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 w:val="0"/>
                <w:color w:val="000000"/>
                <w:sz w:val="21"/>
              </w:rPr>
              <w:t>[Ciudad], agosto de 2026</w:t>
            </w:r>
          </w:p>
        </w:tc>
      </w:tr>
    </w:tbl>
    <w:p>
      <w:pPr>
        <w:spacing w:before="560"/>
        <w:jc w:val="center"/>
      </w:pPr>
      <w:r>
        <w:rPr>
          <w:rFonts w:ascii="Times New Roman" w:hAnsi="Times New Roman"/>
          <w:i/>
          <w:color w:val="666666"/>
          <w:sz w:val="18"/>
        </w:rPr>
        <w:t>Documento técnico-académico elaborado a partir del código fuente, autómatas, pruebas y configuración de despliegue de SAM-Lang Studio v2.0.0.</w:t>
      </w:r>
    </w:p>
    <w:p>
      <w:r>
        <w:br w:type="page"/>
      </w:r>
    </w:p>
    <w:p>
      <w:pPr>
        <w:pStyle w:val="Heading1"/>
      </w:pPr>
      <w:r>
        <w:t>Control del documento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blHeader w:val="true"/>
          <w:cantSplit/>
        </w:trPr>
        <w:tc>
          <w:tcPr>
            <w:tcW w:type="dxa" w:w="2835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Campo</w:t>
            </w:r>
          </w:p>
        </w:tc>
        <w:tc>
          <w:tcPr>
            <w:tcW w:type="dxa" w:w="5953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Detalle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Nombre del proyecto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SAM-Lang Studio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Versión documentada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2.0.0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Tipo de documento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Manual de usuario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Estado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Versión final para revisión/entrega académica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Fecha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Agosto de 2026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Responsable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[Completar]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URL pública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[Completar después del despliegue]</w:t>
            </w:r>
          </w:p>
        </w:tc>
      </w:tr>
    </w:tbl>
    <w:p/>
    <w:p>
      <w:pPr>
        <w:pStyle w:val="Heading2"/>
      </w:pPr>
      <w:r>
        <w:t>Historial de cambios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tblHeader w:val="true"/>
          <w:cantSplit/>
        </w:trPr>
        <w:tc>
          <w:tcPr>
            <w:tcW w:type="dxa" w:w="1247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Versión</w:t>
            </w:r>
          </w:p>
        </w:tc>
        <w:tc>
          <w:tcPr>
            <w:tcW w:type="dxa" w:w="1701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Fecha</w:t>
            </w:r>
          </w:p>
        </w:tc>
        <w:tc>
          <w:tcPr>
            <w:tcW w:type="dxa" w:w="5839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Descripción</w:t>
            </w:r>
          </w:p>
        </w:tc>
      </w:tr>
      <w:tr>
        <w:trPr>
          <w:cantSplit/>
        </w:trPr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1.0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Agosto 2026</w:t>
            </w:r>
          </w:p>
        </w:tc>
        <w:tc>
          <w:tcPr>
            <w:tcW w:type="dxa" w:w="583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Documentación inicial del compilador web.</w:t>
            </w:r>
          </w:p>
        </w:tc>
      </w:tr>
      <w:tr>
        <w:trPr>
          <w:cantSplit/>
        </w:trPr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2.0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Agosto 2026</w:t>
            </w:r>
          </w:p>
        </w:tc>
        <w:tc>
          <w:tcPr>
            <w:tcW w:type="dxa" w:w="583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Actualización integral: compilador C++17, runtime, TAC/SAM-VM, backend Node.js, IA multimodelo, seguridad y despliegue web.</w:t>
            </w:r>
          </w:p>
        </w:tc>
      </w:tr>
    </w:tbl>
    <w:p/>
    <w:p>
      <w:r>
        <w:br w:type="page"/>
      </w:r>
    </w:p>
    <w:p>
      <w:pPr>
        <w:pStyle w:val="Heading1"/>
      </w:pPr>
      <w:r>
        <w:t>Índice general</w:t>
      </w:r>
    </w:p>
    <w:p>
      <w:pPr>
        <w:spacing w:line="240" w:lineRule="auto" w:after="0"/>
        <w:jc w:val="left"/>
      </w:pPr>
      <w:r>
        <w:rPr>
          <w:rFonts w:ascii="Times New Roman" w:hAnsi="Times New Roman"/>
          <w:sz w:val="19"/>
        </w:rPr>
        <w:t>1. Presentación</w:t>
      </w:r>
      <w:r>
        <w:rPr>
          <w:rFonts w:ascii="Times New Roman" w:hAnsi="Times New Roman"/>
          <w:sz w:val="19"/>
        </w:rPr>
        <w:t xml:space="preserve">  ··················································  4</w:t>
        <w:br/>
      </w:r>
      <w:r>
        <w:rPr>
          <w:rFonts w:ascii="Times New Roman" w:hAnsi="Times New Roman"/>
          <w:sz w:val="19"/>
        </w:rPr>
        <w:t>2. Alcance funcional para el usuario</w:t>
      </w:r>
      <w:r>
        <w:rPr>
          <w:rFonts w:ascii="Times New Roman" w:hAnsi="Times New Roman"/>
          <w:sz w:val="19"/>
        </w:rPr>
        <w:t xml:space="preserve">  ·····························  4</w:t>
        <w:br/>
      </w:r>
      <w:r>
        <w:rPr>
          <w:rFonts w:ascii="Times New Roman" w:hAnsi="Times New Roman"/>
          <w:sz w:val="19"/>
        </w:rPr>
        <w:t>3. Requisitos de uso</w:t>
      </w:r>
      <w:r>
        <w:rPr>
          <w:rFonts w:ascii="Times New Roman" w:hAnsi="Times New Roman"/>
          <w:sz w:val="19"/>
        </w:rPr>
        <w:t xml:space="preserve">  ·············································  4</w:t>
        <w:br/>
      </w:r>
      <w:r>
        <w:rPr>
          <w:rFonts w:ascii="Times New Roman" w:hAnsi="Times New Roman"/>
          <w:sz w:val="19"/>
        </w:rPr>
        <w:t>4. Acceso al sistema</w:t>
      </w:r>
      <w:r>
        <w:rPr>
          <w:rFonts w:ascii="Times New Roman" w:hAnsi="Times New Roman"/>
          <w:sz w:val="19"/>
        </w:rPr>
        <w:t xml:space="preserve">  ·············································  5</w:t>
        <w:br/>
      </w:r>
      <w:r>
        <w:rPr>
          <w:rFonts w:ascii="Times New Roman" w:hAnsi="Times New Roman"/>
          <w:sz w:val="19"/>
        </w:rPr>
        <w:t>5. Reconocimiento de la interfaz</w:t>
      </w:r>
      <w:r>
        <w:rPr>
          <w:rFonts w:ascii="Times New Roman" w:hAnsi="Times New Roman"/>
          <w:sz w:val="19"/>
        </w:rPr>
        <w:t xml:space="preserve">  ·································  5</w:t>
        <w:br/>
      </w:r>
      <w:r>
        <w:rPr>
          <w:rFonts w:ascii="Times New Roman" w:hAnsi="Times New Roman"/>
          <w:sz w:val="19"/>
        </w:rPr>
        <w:t>6. Flujo de trabajo recomendado</w:t>
      </w:r>
      <w:r>
        <w:rPr>
          <w:rFonts w:ascii="Times New Roman" w:hAnsi="Times New Roman"/>
          <w:sz w:val="19"/>
        </w:rPr>
        <w:t xml:space="preserve">  ··································  7</w:t>
        <w:br/>
      </w:r>
      <w:r>
        <w:rPr>
          <w:rFonts w:ascii="Times New Roman" w:hAnsi="Times New Roman"/>
          <w:sz w:val="19"/>
        </w:rPr>
        <w:t>7. Sintaxis práctica de SAM-Lang</w:t>
      </w:r>
      <w:r>
        <w:rPr>
          <w:rFonts w:ascii="Times New Roman" w:hAnsi="Times New Roman"/>
          <w:sz w:val="19"/>
        </w:rPr>
        <w:t xml:space="preserve">  ·································  8</w:t>
        <w:br/>
      </w:r>
      <w:r>
        <w:rPr>
          <w:rFonts w:ascii="Times New Roman" w:hAnsi="Times New Roman"/>
          <w:sz w:val="19"/>
        </w:rPr>
        <w:t>8. Ejemplos incluidos</w:t>
      </w:r>
      <w:r>
        <w:rPr>
          <w:rFonts w:ascii="Times New Roman" w:hAnsi="Times New Roman"/>
          <w:sz w:val="19"/>
        </w:rPr>
        <w:t xml:space="preserve">  ············································  9</w:t>
        <w:br/>
      </w:r>
      <w:r>
        <w:rPr>
          <w:rFonts w:ascii="Times New Roman" w:hAnsi="Times New Roman"/>
          <w:sz w:val="19"/>
        </w:rPr>
        <w:t>9. Configuración de IA multimodelo</w:t>
      </w:r>
      <w:r>
        <w:rPr>
          <w:rFonts w:ascii="Times New Roman" w:hAnsi="Times New Roman"/>
          <w:sz w:val="19"/>
        </w:rPr>
        <w:t xml:space="preserve">  ·······························  10</w:t>
        <w:br/>
      </w:r>
      <w:r>
        <w:rPr>
          <w:rFonts w:ascii="Times New Roman" w:hAnsi="Times New Roman"/>
          <w:sz w:val="19"/>
        </w:rPr>
        <w:t>10. Probar un agente creado</w:t>
      </w:r>
      <w:r>
        <w:rPr>
          <w:rFonts w:ascii="Times New Roman" w:hAnsi="Times New Roman"/>
          <w:sz w:val="19"/>
        </w:rPr>
        <w:t xml:space="preserve">  ······································  11</w:t>
        <w:br/>
      </w:r>
      <w:r>
        <w:rPr>
          <w:rFonts w:ascii="Times New Roman" w:hAnsi="Times New Roman"/>
          <w:sz w:val="19"/>
        </w:rPr>
        <w:t>11. Interpretación de las pestañas técnicas</w:t>
      </w:r>
      <w:r>
        <w:rPr>
          <w:rFonts w:ascii="Times New Roman" w:hAnsi="Times New Roman"/>
          <w:sz w:val="19"/>
        </w:rPr>
        <w:t xml:space="preserve">  ······················  11</w:t>
        <w:br/>
      </w:r>
      <w:r>
        <w:rPr>
          <w:rFonts w:ascii="Times New Roman" w:hAnsi="Times New Roman"/>
          <w:sz w:val="19"/>
        </w:rPr>
        <w:t>12. Mensajes de error y solución de problemas</w:t>
      </w:r>
      <w:r>
        <w:rPr>
          <w:rFonts w:ascii="Times New Roman" w:hAnsi="Times New Roman"/>
          <w:sz w:val="19"/>
        </w:rPr>
        <w:t xml:space="preserve">  ····················  12</w:t>
        <w:br/>
      </w:r>
      <w:r>
        <w:rPr>
          <w:rFonts w:ascii="Times New Roman" w:hAnsi="Times New Roman"/>
          <w:sz w:val="19"/>
        </w:rPr>
        <w:t>13. Seguridad para el usuario</w:t>
      </w:r>
      <w:r>
        <w:rPr>
          <w:rFonts w:ascii="Times New Roman" w:hAnsi="Times New Roman"/>
          <w:sz w:val="19"/>
        </w:rPr>
        <w:t xml:space="preserve">  ····································  12</w:t>
        <w:br/>
      </w:r>
      <w:r>
        <w:rPr>
          <w:rFonts w:ascii="Times New Roman" w:hAnsi="Times New Roman"/>
          <w:sz w:val="19"/>
        </w:rPr>
        <w:t>14. Procedimiento de demostración para el docente</w:t>
      </w:r>
      <w:r>
        <w:rPr>
          <w:rFonts w:ascii="Times New Roman" w:hAnsi="Times New Roman"/>
          <w:sz w:val="19"/>
        </w:rPr>
        <w:t xml:space="preserve">  ················  13</w:t>
        <w:br/>
      </w:r>
      <w:r>
        <w:rPr>
          <w:rFonts w:ascii="Times New Roman" w:hAnsi="Times New Roman"/>
          <w:sz w:val="19"/>
        </w:rPr>
        <w:t>15. Preguntas frecuentes</w:t>
      </w:r>
      <w:r>
        <w:rPr>
          <w:rFonts w:ascii="Times New Roman" w:hAnsi="Times New Roman"/>
          <w:sz w:val="19"/>
        </w:rPr>
        <w:t xml:space="preserve">  ·········································  13</w:t>
        <w:br/>
      </w:r>
      <w:r>
        <w:rPr>
          <w:rFonts w:ascii="Times New Roman" w:hAnsi="Times New Roman"/>
          <w:sz w:val="19"/>
        </w:rPr>
        <w:t>16. Glosario</w:t>
      </w:r>
      <w:r>
        <w:rPr>
          <w:rFonts w:ascii="Times New Roman" w:hAnsi="Times New Roman"/>
          <w:sz w:val="19"/>
        </w:rPr>
        <w:t xml:space="preserve">  ·····················································  13</w:t>
        <w:br/>
      </w:r>
      <w:r>
        <w:rPr>
          <w:rFonts w:ascii="Times New Roman" w:hAnsi="Times New Roman"/>
          <w:sz w:val="19"/>
        </w:rPr>
        <w:t>Anexo A. Práctica guiada</w:t>
      </w:r>
      <w:r>
        <w:rPr>
          <w:rFonts w:ascii="Times New Roman" w:hAnsi="Times New Roman"/>
          <w:sz w:val="19"/>
        </w:rPr>
        <w:t xml:space="preserve">  ·········································  14</w:t>
        <w:br/>
      </w:r>
      <w:r>
        <w:rPr>
          <w:rFonts w:ascii="Times New Roman" w:hAnsi="Times New Roman"/>
          <w:sz w:val="19"/>
        </w:rPr>
        <w:t>Referencias</w:t>
      </w:r>
      <w:r>
        <w:rPr>
          <w:rFonts w:ascii="Times New Roman" w:hAnsi="Times New Roman"/>
          <w:sz w:val="19"/>
        </w:rPr>
        <w:t xml:space="preserve">  ······················································  14</w:t>
      </w:r>
    </w:p>
    <w:p>
      <w:r>
        <w:br w:type="page"/>
      </w:r>
    </w:p>
    <w:p>
      <w:pPr>
        <w:pStyle w:val="Heading1"/>
      </w:pPr>
      <w:r>
        <w:t>1. Presentación</w:t>
      </w:r>
    </w:p>
    <w:p>
      <w:pPr>
        <w:spacing w:line="360" w:lineRule="auto"/>
        <w:jc w:val="both"/>
      </w:pPr>
      <w:r>
        <w:rPr>
          <w:rFonts w:ascii="Times New Roman" w:hAnsi="Times New Roman"/>
          <w:i w:val="0"/>
          <w:color w:val="000000"/>
          <w:sz w:val="24"/>
        </w:rPr>
        <w:t>SAM-Lang Studio v2.0.0 es un entorno web académico que permite escribir, analizar, compilar y ejecutar programas del lenguaje SAM-Lang. La aplicación fue diseñada para que las etapas de un compilador sean observables durante una práctica o exposición: análisis léxico, verificación sintáctica mediante PDA tabular, parser descendente y AST, análisis semántico, runtime de agentes, generación de código intermedio TAC, optimización y generación de código final SAM-VM. La versión 2 incorpora además una capa de inteligencia artificial multimodelo con soporte para Google Gemini, OpenAI, Anthropic Claude, DeepSeek, Groq y Ollama local.</w:t>
      </w:r>
    </w:p>
    <w:p>
      <w:pPr>
        <w:spacing w:line="360" w:lineRule="auto"/>
        <w:jc w:val="both"/>
      </w:pPr>
      <w:r>
        <w:rPr>
          <w:rFonts w:ascii="Times New Roman" w:hAnsi="Times New Roman"/>
          <w:i w:val="0"/>
          <w:color w:val="000000"/>
          <w:sz w:val="24"/>
        </w:rPr>
        <w:t>Este manual está dirigido al usuario final —estudiante, docente o evaluador— y explica el uso del sistema sin exigir conocimientos de implementación. Cuando se requieran detalles de desarrollo, arquitectura o mantenimiento, debe consultarse el Manual Técnico.</w:t>
      </w:r>
    </w:p>
    <w:p>
      <w:pPr>
        <w:pStyle w:val="Heading1"/>
      </w:pPr>
      <w:r>
        <w:t>2. Alcance funcional para el usuario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color w:val="000000"/>
          <w:sz w:val="24"/>
        </w:rPr>
        <w:t>Crear o modificar código SAM-Lang desde el editor web.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color w:val="000000"/>
          <w:sz w:val="24"/>
        </w:rPr>
        <w:t>Cargar ejemplos incluidos en el proyecto y ejecutar pruebas válidas o inválidas.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color w:val="000000"/>
          <w:sz w:val="24"/>
        </w:rPr>
        <w:t>Compilar y observar el resultado general del proceso.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color w:val="000000"/>
          <w:sz w:val="24"/>
        </w:rPr>
        <w:t>Consultar tokens, AST, estado del runtime, TAC y código SAM-VM.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color w:val="000000"/>
          <w:sz w:val="24"/>
        </w:rPr>
        <w:t>Probar los agentes construidos enviándoles mensajes.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color w:val="000000"/>
          <w:sz w:val="24"/>
        </w:rPr>
        <w:t>Seleccionar un proveedor de IA configurado o utilizar selección automática.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color w:val="000000"/>
          <w:sz w:val="24"/>
        </w:rPr>
        <w:t>Observar la traza de ejecución y detectar si se utilizó fallback.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color w:val="000000"/>
          <w:sz w:val="24"/>
        </w:rPr>
        <w:t>Acceder localmente mediante http://127.0.0.1:3000 o mediante una URL pública una vez desplegado.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2F2F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Límite importante. </w:t>
            </w:r>
            <w:r>
              <w:rPr>
                <w:rFonts w:ascii="Times New Roman" w:hAnsi="Times New Roman"/>
                <w:color w:val="000000"/>
                <w:sz w:val="20"/>
              </w:rPr>
              <w:t>SAM-Lang Studio es un proyecto académico. La integración con modelos externos depende de las credenciales, cuotas, disponibilidad y modelos habilitados por cada proveedor. El compilador y el runtime local pueden utilizarse aunque no exista una API de IA configurada.</w:t>
            </w:r>
          </w:p>
        </w:tc>
      </w:tr>
    </w:tbl>
    <w:p/>
    <w:p>
      <w:pPr>
        <w:pStyle w:val="Heading1"/>
      </w:pPr>
      <w:r>
        <w:t>3. Requisitos de uso</w:t>
      </w:r>
    </w:p>
    <w:p>
      <w:pPr>
        <w:jc w:val="left"/>
      </w:pPr>
      <w:r>
        <w:rPr>
          <w:rFonts w:ascii="Times New Roman" w:hAnsi="Times New Roman"/>
          <w:b/>
          <w:color w:val="000000"/>
          <w:sz w:val="20"/>
        </w:rPr>
        <w:t>Tabla 1. Requisitos por modalidad de uso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tblHeader w:val="true"/>
          <w:cantSplit/>
        </w:trPr>
        <w:tc>
          <w:tcPr>
            <w:tcW w:type="dxa" w:w="1701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Modalidad</w:t>
            </w:r>
          </w:p>
        </w:tc>
        <w:tc>
          <w:tcPr>
            <w:tcW w:type="dxa" w:w="3402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Requisito</w:t>
            </w:r>
          </w:p>
        </w:tc>
        <w:tc>
          <w:tcPr>
            <w:tcW w:type="dxa" w:w="3685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Observación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URL pública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Navegador web moderno y conexión a Internet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No requiere instalar Node.js ni CMake en el equipo del usuario.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Ejecución local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Windows 10/11, Linux o macOS; Node.js 18+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El backend se inicia con npm start.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Compilador C++ local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CMake 3.10+ y compilador C++17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Necesario para la ruta /ejecutar y el binario nativo.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IA remota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Clave API válida del proveedor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La clave no debe compartirse ni incluirse en el código fuente.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Ollama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Servicio Ollama ejecutándose localmente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No requiere clave, pero sí un modelo instalado y accesible.</w:t>
            </w:r>
          </w:p>
        </w:tc>
      </w:tr>
    </w:tbl>
    <w:p/>
    <w:p>
      <w:pPr>
        <w:pStyle w:val="Heading1"/>
      </w:pPr>
      <w:r>
        <w:t>4. Acceso al sistema</w:t>
      </w:r>
    </w:p>
    <w:p>
      <w:pPr>
        <w:pStyle w:val="Heading2"/>
      </w:pPr>
      <w:r>
        <w:t>4.1 Acceso local en Windows</w:t>
      </w:r>
    </w:p>
    <w:p>
      <w:pPr>
        <w:spacing w:line="360" w:lineRule="auto" w:after="0"/>
        <w:ind w:left="340" w:hanging="340"/>
      </w:pPr>
      <w:r/>
      <w:r>
        <w:rPr>
          <w:rFonts w:ascii="Times New Roman" w:hAnsi="Times New Roman"/>
          <w:b w:val="0"/>
          <w:sz w:val="24"/>
        </w:rPr>
        <w:t>1. Descomprima el proyecto en una carpeta de trabajo.</w:t>
      </w:r>
    </w:p>
    <w:p>
      <w:pPr>
        <w:spacing w:line="360" w:lineRule="auto" w:after="0"/>
        <w:ind w:left="340" w:hanging="340"/>
      </w:pPr>
      <w:r/>
      <w:r>
        <w:rPr>
          <w:rFonts w:ascii="Times New Roman" w:hAnsi="Times New Roman"/>
          <w:b w:val="0"/>
          <w:sz w:val="24"/>
        </w:rPr>
        <w:t>2. Ejecute ABRIR_WEB.bat.</w:t>
      </w:r>
    </w:p>
    <w:p>
      <w:pPr>
        <w:spacing w:line="360" w:lineRule="auto" w:after="0"/>
        <w:ind w:left="340" w:hanging="340"/>
      </w:pPr>
      <w:r/>
      <w:r>
        <w:rPr>
          <w:rFonts w:ascii="Times New Roman" w:hAnsi="Times New Roman"/>
          <w:b w:val="0"/>
          <w:sz w:val="24"/>
        </w:rPr>
        <w:t>3. Si el navegador no se abre automáticamente, abra una ventana y escriba http://127.0.0.1:3000.</w:t>
      </w:r>
    </w:p>
    <w:p>
      <w:pPr>
        <w:spacing w:line="360" w:lineRule="auto" w:after="0"/>
        <w:ind w:left="340" w:hanging="340"/>
      </w:pPr>
      <w:r/>
      <w:r>
        <w:rPr>
          <w:rFonts w:ascii="Times New Roman" w:hAnsi="Times New Roman"/>
          <w:b w:val="0"/>
          <w:sz w:val="24"/>
        </w:rPr>
        <w:t>4. Mantenga abierta la consola mientras utiliza el sistema. Para detener el servidor, presione Ctrl+C.</w:t>
      </w:r>
    </w:p>
    <w:p>
      <w:pPr>
        <w:pStyle w:val="CodeBlock"/>
        <w:shd w:fill="F5F5F5"/>
      </w:pPr>
      <w:r>
        <w:rPr>
          <w:rFonts w:ascii="Consolas" w:hAnsi="Consolas"/>
          <w:color w:val="000000"/>
          <w:sz w:val="18"/>
        </w:rPr>
        <w:t>cd /d D:\SAM-LANG-STUDIO-MULTIMODELO-v2</w:t>
        <w:br/>
        <w:t>npm start</w:t>
      </w:r>
    </w:p>
    <w:p>
      <w:pPr>
        <w:spacing w:line="360" w:lineRule="auto"/>
        <w:jc w:val="both"/>
      </w:pPr>
      <w:r>
        <w:rPr>
          <w:rFonts w:ascii="Times New Roman" w:hAnsi="Times New Roman"/>
          <w:i w:val="0"/>
          <w:color w:val="000000"/>
          <w:sz w:val="24"/>
        </w:rPr>
        <w:t>El servidor utiliza el puerto 3000 de forma predeterminada. Si el puerto está ocupado, puede definirse otro mediante la variable PORT. No es necesario usar el puerto 8080.</w:t>
      </w:r>
    </w:p>
    <w:p>
      <w:pPr>
        <w:pStyle w:val="Heading2"/>
      </w:pPr>
      <w:r>
        <w:t>4.2 Acceso mediante URL pública</w:t>
      </w:r>
    </w:p>
    <w:p>
      <w:pPr>
        <w:spacing w:line="360" w:lineRule="auto"/>
        <w:jc w:val="both"/>
      </w:pPr>
      <w:r>
        <w:rPr>
          <w:rFonts w:ascii="Times New Roman" w:hAnsi="Times New Roman"/>
          <w:i w:val="0"/>
          <w:color w:val="000000"/>
          <w:sz w:val="24"/>
        </w:rPr>
        <w:t>Cuando el proyecto sea publicado en un servicio web, el docente recibirá únicamente la URL. En esa modalidad, el usuario abre la dirección HTTPS y utiliza la interfaz directamente. Las claves de IA deben configurarse como secretos del servidor; no se recomienda habilitar la carga de credenciales desde una interfaz pública sin autenticación.</w:t>
      </w:r>
    </w:p>
    <w:p>
      <w:pPr>
        <w:pStyle w:val="Heading1"/>
      </w:pPr>
      <w:r>
        <w:t>5. Reconocimiento de la interfaz</w:t>
      </w:r>
    </w:p>
    <w:p>
      <w:pPr>
        <w:jc w:val="left"/>
      </w:pPr>
      <w:r>
        <w:rPr>
          <w:rFonts w:ascii="Times New Roman" w:hAnsi="Times New Roman"/>
          <w:b/>
          <w:color w:val="000000"/>
          <w:sz w:val="20"/>
        </w:rPr>
        <w:t>Tabla 2. Componentes visibles de la interfaz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blHeader w:val="true"/>
          <w:cantSplit/>
        </w:trPr>
        <w:tc>
          <w:tcPr>
            <w:tcW w:type="dxa" w:w="2438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Zona</w:t>
            </w:r>
          </w:p>
        </w:tc>
        <w:tc>
          <w:tcPr>
            <w:tcW w:type="dxa" w:w="635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Función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Cabecera</w:t>
            </w:r>
          </w:p>
        </w:tc>
        <w:tc>
          <w:tcPr>
            <w:tcW w:type="dxa" w:w="635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Identifica SAM-Lang Studio y muestra el estado del motor web y de la IA.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Barra de herramientas</w:t>
            </w:r>
          </w:p>
        </w:tc>
        <w:tc>
          <w:tcPr>
            <w:tcW w:type="dxa" w:w="635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Permite elegir un ejemplo, cargarlo, abrir Configurar IA, limpiar resultados y compilar/ejecutar.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Editor SAM-Lang</w:t>
            </w:r>
          </w:p>
        </w:tc>
        <w:tc>
          <w:tcPr>
            <w:tcW w:type="dxa" w:w="635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Área de entrada del código fuente; muestra el número de líneas.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Consola del compilador</w:t>
            </w:r>
          </w:p>
        </w:tc>
        <w:tc>
          <w:tcPr>
            <w:tcW w:type="dxa" w:w="635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Presenta aceptación, errores y resumen del procesamiento.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Probar agente creado</w:t>
            </w:r>
          </w:p>
        </w:tc>
        <w:tc>
          <w:tcPr>
            <w:tcW w:type="dxa" w:w="635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Permite seleccionar un agente, proveedor de IA y enviar un mensaje.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Respuesta</w:t>
            </w:r>
          </w:p>
        </w:tc>
        <w:tc>
          <w:tcPr>
            <w:tcW w:type="dxa" w:w="635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Muestra la respuesta del agente o del modo local.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Traza de ejecución</w:t>
            </w:r>
          </w:p>
        </w:tc>
        <w:tc>
          <w:tcPr>
            <w:tcW w:type="dxa" w:w="635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Indica flujo, acciones, proveedor, modelo, fallback o error.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Pestañas de detalle</w:t>
            </w:r>
          </w:p>
        </w:tc>
        <w:tc>
          <w:tcPr>
            <w:tcW w:type="dxa" w:w="635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Tokens, AST, Runtime, TAC y SAM-VM.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28000" cy="77325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cas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77325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color w:val="000000"/>
          <w:sz w:val="20"/>
        </w:rPr>
        <w:t>Figura 1. Funciones principales disponibles para el usuario.</w:t>
      </w:r>
    </w:p>
    <w:p>
      <w:pPr>
        <w:pStyle w:val="Heading1"/>
      </w:pPr>
      <w:r>
        <w:t>6. Flujo de trabajo recomendado</w:t>
      </w:r>
    </w:p>
    <w:p>
      <w:pPr>
        <w:spacing w:line="360" w:lineRule="auto" w:after="0"/>
        <w:ind w:left="340" w:hanging="340"/>
      </w:pPr>
      <w:r/>
      <w:r>
        <w:rPr>
          <w:rFonts w:ascii="Times New Roman" w:hAnsi="Times New Roman"/>
          <w:b w:val="0"/>
          <w:sz w:val="24"/>
        </w:rPr>
        <w:t>1. Seleccione un ejemplo en la lista y pulse Cargar, o escriba su propio código.</w:t>
      </w:r>
    </w:p>
    <w:p>
      <w:pPr>
        <w:spacing w:line="360" w:lineRule="auto" w:after="0"/>
        <w:ind w:left="340" w:hanging="340"/>
      </w:pPr>
      <w:r/>
      <w:r>
        <w:rPr>
          <w:rFonts w:ascii="Times New Roman" w:hAnsi="Times New Roman"/>
          <w:b w:val="0"/>
          <w:sz w:val="24"/>
        </w:rPr>
        <w:t>2. Revise la sintaxis básica y pulse Compilar y ejecutar.</w:t>
      </w:r>
    </w:p>
    <w:p>
      <w:pPr>
        <w:spacing w:line="360" w:lineRule="auto" w:after="0"/>
        <w:ind w:left="340" w:hanging="340"/>
      </w:pPr>
      <w:r/>
      <w:r>
        <w:rPr>
          <w:rFonts w:ascii="Times New Roman" w:hAnsi="Times New Roman"/>
          <w:b w:val="0"/>
          <w:sz w:val="24"/>
        </w:rPr>
        <w:t>3. Compruebe el estado de la consola. Si existe un error, corrija la línea indicada y vuelva a compilar.</w:t>
      </w:r>
    </w:p>
    <w:p>
      <w:pPr>
        <w:spacing w:line="360" w:lineRule="auto" w:after="0"/>
        <w:ind w:left="340" w:hanging="340"/>
      </w:pPr>
      <w:r/>
      <w:r>
        <w:rPr>
          <w:rFonts w:ascii="Times New Roman" w:hAnsi="Times New Roman"/>
          <w:b w:val="0"/>
          <w:sz w:val="24"/>
        </w:rPr>
        <w:t>4. Abra las pestañas Tokens, AST, Runtime, TAC y SAM-VM para interpretar cada fase.</w:t>
      </w:r>
    </w:p>
    <w:p>
      <w:pPr>
        <w:spacing w:line="360" w:lineRule="auto" w:after="0"/>
        <w:ind w:left="340" w:hanging="340"/>
      </w:pPr>
      <w:r/>
      <w:r>
        <w:rPr>
          <w:rFonts w:ascii="Times New Roman" w:hAnsi="Times New Roman"/>
          <w:b w:val="0"/>
          <w:sz w:val="24"/>
        </w:rPr>
        <w:t>5. En Probar agente creado, seleccione el agente activo.</w:t>
      </w:r>
    </w:p>
    <w:p>
      <w:pPr>
        <w:spacing w:line="360" w:lineRule="auto" w:after="0"/>
        <w:ind w:left="340" w:hanging="340"/>
      </w:pPr>
      <w:r/>
      <w:r>
        <w:rPr>
          <w:rFonts w:ascii="Times New Roman" w:hAnsi="Times New Roman"/>
          <w:b w:val="0"/>
          <w:sz w:val="24"/>
        </w:rPr>
        <w:t>6. Si el agente declara una herramienta de IA, seleccione Proveedor automático o un proveedor específico.</w:t>
      </w:r>
    </w:p>
    <w:p>
      <w:pPr>
        <w:spacing w:line="360" w:lineRule="auto" w:after="0"/>
        <w:ind w:left="340" w:hanging="340"/>
      </w:pPr>
      <w:r/>
      <w:r>
        <w:rPr>
          <w:rFonts w:ascii="Times New Roman" w:hAnsi="Times New Roman"/>
          <w:b w:val="0"/>
          <w:sz w:val="24"/>
        </w:rPr>
        <w:t>7. Escriba un mensaje y pulse Enviar mensaje.</w:t>
      </w:r>
    </w:p>
    <w:p>
      <w:pPr>
        <w:spacing w:line="360" w:lineRule="auto" w:after="0"/>
        <w:ind w:left="340" w:hanging="340"/>
      </w:pPr>
      <w:r/>
      <w:r>
        <w:rPr>
          <w:rFonts w:ascii="Times New Roman" w:hAnsi="Times New Roman"/>
          <w:b w:val="0"/>
          <w:sz w:val="24"/>
        </w:rPr>
        <w:t>8. Compruebe la respuesta y la traza para saber qué proveedor/modelo respondió y si hubo fallback.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843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4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color w:val="000000"/>
          <w:sz w:val="20"/>
        </w:rPr>
        <w:t>Figura 2. Secuencia conceptual del procesamiento de un programa SAM-Lang.</w:t>
      </w:r>
    </w:p>
    <w:p>
      <w:pPr>
        <w:pStyle w:val="Heading1"/>
      </w:pPr>
      <w:r>
        <w:t>7. Sintaxis práctica de SAM-Lang</w:t>
      </w:r>
    </w:p>
    <w:p>
      <w:pPr>
        <w:spacing w:line="360" w:lineRule="auto"/>
        <w:jc w:val="both"/>
      </w:pPr>
      <w:r>
        <w:rPr>
          <w:rFonts w:ascii="Times New Roman" w:hAnsi="Times New Roman"/>
          <w:i w:val="0"/>
          <w:color w:val="000000"/>
          <w:sz w:val="24"/>
        </w:rPr>
        <w:t>Un programa puede declarar uno o más agentes y, opcionalmente, uno o más bloques runtime. Los elementos del lenguaje se escriben en minúsculas para las palabras reservadas y los nombres definidos por el usuario se representan mediante identificadores.</w:t>
      </w:r>
    </w:p>
    <w:p>
      <w:pPr>
        <w:pStyle w:val="Heading2"/>
      </w:pPr>
      <w:r>
        <w:t>7.1 Estructura mínima de un agente</w:t>
      </w:r>
    </w:p>
    <w:p>
      <w:pPr>
        <w:pStyle w:val="CodeBlock"/>
        <w:shd w:fill="F5F5F5"/>
      </w:pPr>
      <w:r>
        <w:rPr>
          <w:rFonts w:ascii="Consolas" w:hAnsi="Consolas"/>
          <w:color w:val="000000"/>
          <w:sz w:val="18"/>
        </w:rPr>
        <w:t>agente AsistenteMultiIA {</w:t>
        <w:br/>
        <w:t xml:space="preserve">    objetivo: "Responder solicitudes generales";</w:t>
        <w:br/>
        <w:t xml:space="preserve">    inteligencia: experto;</w:t>
        <w:br/>
        <w:t xml:space="preserve">    memoria: persistente;</w:t>
        <w:br/>
        <w:t xml:space="preserve">    herramientas: [ia];</w:t>
        <w:br/>
        <w:t xml:space="preserve">    permisos: [leer, usar, enviar];</w:t>
        <w:br/>
        <w:br/>
        <w:t xml:space="preserve">    flujo consulta {</w:t>
        <w:br/>
        <w:t xml:space="preserve">        recibir mensaje;</w:t>
        <w:br/>
        <w:t xml:space="preserve">        responder "Solicitud recibida";</w:t>
        <w:br/>
        <w:t xml:space="preserve">    }</w:t>
        <w:br/>
        <w:t>}</w:t>
      </w:r>
    </w:p>
    <w:p>
      <w:pPr>
        <w:pStyle w:val="Heading2"/>
      </w:pPr>
      <w:r>
        <w:t>7.2 Campos y construcciones principales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0"/>
        </w:rPr>
        <w:t>Tabla 3. Resumen de construcciones del lenguaje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tblHeader w:val="true"/>
          <w:cantSplit/>
        </w:trPr>
        <w:tc>
          <w:tcPr>
            <w:tcW w:type="dxa" w:w="1814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/>
                <w:color w:val="000000"/>
                <w:sz w:val="17"/>
              </w:rPr>
              <w:t>Construcción</w:t>
            </w:r>
          </w:p>
        </w:tc>
        <w:tc>
          <w:tcPr>
            <w:tcW w:type="dxa" w:w="3572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/>
                <w:color w:val="000000"/>
                <w:sz w:val="17"/>
              </w:rPr>
              <w:t>Finalidad</w:t>
            </w:r>
          </w:p>
        </w:tc>
        <w:tc>
          <w:tcPr>
            <w:tcW w:type="dxa" w:w="3402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/>
                <w:color w:val="000000"/>
                <w:sz w:val="17"/>
              </w:rPr>
              <w:t>Ejemplo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objetivo</w:t>
            </w:r>
          </w:p>
        </w:tc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Describe la finalidad del agente.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objetivo: "Ayudar al usuario";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inteligencia</w:t>
            </w:r>
          </w:p>
        </w:tc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Etiqueta el nivel o tipo de inteligencia.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inteligencia: experto;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memoria</w:t>
            </w:r>
          </w:p>
        </w:tc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Define memoria persistente, compartida u otro identificador admitido.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memoria: persistente;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herramientas</w:t>
            </w:r>
          </w:p>
        </w:tc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Lista herramientas del agente.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herramientas: [ia];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permisos</w:t>
            </w:r>
          </w:p>
        </w:tc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Lista permisos: leer, escritura, usar, enviar.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permisos: [leer, usar];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restricciones</w:t>
            </w:r>
          </w:p>
        </w:tc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Define restricciones, incluida requiere_aprobacion.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restricciones: [requiere_aprobacion];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depende_de</w:t>
            </w:r>
          </w:p>
        </w:tc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Declara dependencias con otros agentes.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depende_de: [Coordinador];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delega</w:t>
            </w:r>
          </w:p>
        </w:tc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Envía una tarea a otro agente.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delega: tarea -&gt; AgenteB;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flujo / flujo_dinamico</w:t>
            </w:r>
          </w:p>
        </w:tc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Agrupa pasos de ejecución.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flujo consulta { ... }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si / sino</w:t>
            </w:r>
          </w:p>
        </w:tc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Permite decisiones con comparadores.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si (x &gt;= 1) { responder "ok"; }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runtime</w:t>
            </w:r>
          </w:p>
        </w:tc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Configura coordinación global.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runtime Sistema { coordinador: A; }</w:t>
            </w:r>
          </w:p>
        </w:tc>
      </w:tr>
    </w:tbl>
    <w:p/>
    <w:p>
      <w:pPr>
        <w:pStyle w:val="Heading2"/>
      </w:pPr>
      <w:r>
        <w:t>7.3 Operadores admitidos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blHeader w:val="true"/>
          <w:cantSplit/>
        </w:trPr>
        <w:tc>
          <w:tcPr>
            <w:tcW w:type="dxa" w:w="2268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Operador</w:t>
            </w:r>
          </w:p>
        </w:tc>
        <w:tc>
          <w:tcPr>
            <w:tcW w:type="dxa" w:w="652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Uso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==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igualdad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!=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diferencia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&gt;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mayor que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&lt;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menor que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&gt;=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mayor o igual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&lt;=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menor o igual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-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signo negativo en valores numéricos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!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negación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-&gt; o →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encadenamiento/delegación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2F2F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Advertencia sintáctica. </w:t>
            </w:r>
            <w:r>
              <w:rPr>
                <w:rFonts w:ascii="Times New Roman" w:hAnsi="Times New Roman"/>
                <w:color w:val="000000"/>
                <w:sz w:val="20"/>
              </w:rPr>
              <w:t>Para comparar se utiliza ==. El símbolo = se reconoce para producir un diagnóstico explícito cuando se usa incorrectamente como operador de comparación.</w:t>
            </w:r>
          </w:p>
        </w:tc>
      </w:tr>
    </w:tbl>
    <w:p/>
    <w:p>
      <w:pPr>
        <w:pStyle w:val="Heading1"/>
      </w:pPr>
      <w:r>
        <w:t>8. Ejemplos incluidos</w:t>
      </w:r>
    </w:p>
    <w:p>
      <w:pPr>
        <w:jc w:val="left"/>
      </w:pPr>
      <w:r>
        <w:rPr>
          <w:rFonts w:ascii="Times New Roman" w:hAnsi="Times New Roman"/>
          <w:b/>
          <w:color w:val="000000"/>
          <w:sz w:val="20"/>
        </w:rPr>
        <w:t>Tabla 4. Biblioteca de ejemplos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tblHeader w:val="true"/>
          <w:cantSplit/>
        </w:trPr>
        <w:tc>
          <w:tcPr>
            <w:tcW w:type="dxa" w:w="1814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Archivo</w:t>
            </w:r>
          </w:p>
        </w:tc>
        <w:tc>
          <w:tcPr>
            <w:tcW w:type="dxa" w:w="4195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Objetivo de demostración</w:t>
            </w:r>
          </w:p>
        </w:tc>
        <w:tc>
          <w:tcPr>
            <w:tcW w:type="dxa" w:w="2721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multimodelo.sam</w:t>
            </w:r>
          </w:p>
        </w:tc>
        <w:tc>
          <w:tcPr>
            <w:tcW w:type="dxa" w:w="419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Agente con herramientas: [ia] y selección de proveedor.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Compila y ejecuta; genera TAC y SAM-VM.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medico.sam</w:t>
            </w:r>
          </w:p>
        </w:tc>
        <w:tc>
          <w:tcPr>
            <w:tcW w:type="dxa" w:w="419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Agente con Gemini y herramientas adicionales.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Compila; puede consultar IA si existe credencial.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comunicacion.sam</w:t>
            </w:r>
          </w:p>
        </w:tc>
        <w:tc>
          <w:tcPr>
            <w:tcW w:type="dxa" w:w="419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Varios agentes, dependencias, coordinación y runtime.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Compila y evidencia comunicación.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asistente.sam</w:t>
            </w:r>
          </w:p>
        </w:tc>
        <w:tc>
          <w:tcPr>
            <w:tcW w:type="dxa" w:w="419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Condicionales y respuesta local.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Compila y ejecuta sin requerir IA externa.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error_semantico.sam</w:t>
            </w:r>
          </w:p>
        </w:tc>
        <w:tc>
          <w:tcPr>
            <w:tcW w:type="dxa" w:w="419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Referencia semánticamente inválida.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Debe ser rechazado en análisis semántico.</w:t>
            </w:r>
          </w:p>
        </w:tc>
      </w:tr>
    </w:tbl>
    <w:p/>
    <w:p>
      <w:pPr>
        <w:pStyle w:val="Heading1"/>
      </w:pPr>
      <w:r>
        <w:t>9. Configuración de IA multimodelo</w:t>
      </w:r>
    </w:p>
    <w:p>
      <w:pPr>
        <w:spacing w:line="360" w:lineRule="auto"/>
        <w:jc w:val="both"/>
      </w:pPr>
      <w:r>
        <w:rPr>
          <w:rFonts w:ascii="Times New Roman" w:hAnsi="Times New Roman"/>
          <w:i w:val="0"/>
          <w:color w:val="000000"/>
          <w:sz w:val="24"/>
        </w:rPr>
        <w:t>La opción recomendada en el lenguaje es herramientas: [ia];. De esta forma el programa no queda ligado a un proveedor específico. También se reconocen gemini, openai, claude/anthropic, deepseek, groq y ollama.</w:t>
      </w:r>
    </w:p>
    <w:p>
      <w:pPr>
        <w:spacing w:line="360" w:lineRule="auto" w:after="0"/>
        <w:ind w:left="340" w:hanging="340"/>
      </w:pPr>
      <w:r/>
      <w:r>
        <w:rPr>
          <w:rFonts w:ascii="Times New Roman" w:hAnsi="Times New Roman"/>
          <w:b w:val="0"/>
          <w:sz w:val="24"/>
        </w:rPr>
        <w:t>1. Pulse Configurar IA.</w:t>
      </w:r>
    </w:p>
    <w:p>
      <w:pPr>
        <w:spacing w:line="360" w:lineRule="auto" w:after="0"/>
        <w:ind w:left="340" w:hanging="340"/>
      </w:pPr>
      <w:r/>
      <w:r>
        <w:rPr>
          <w:rFonts w:ascii="Times New Roman" w:hAnsi="Times New Roman"/>
          <w:b w:val="0"/>
          <w:sz w:val="24"/>
        </w:rPr>
        <w:t>2. Seleccione el proveedor.</w:t>
      </w:r>
    </w:p>
    <w:p>
      <w:pPr>
        <w:spacing w:line="360" w:lineRule="auto" w:after="0"/>
        <w:ind w:left="340" w:hanging="340"/>
      </w:pPr>
      <w:r/>
      <w:r>
        <w:rPr>
          <w:rFonts w:ascii="Times New Roman" w:hAnsi="Times New Roman"/>
          <w:b w:val="0"/>
          <w:sz w:val="24"/>
        </w:rPr>
        <w:t>3. Escriba el identificador del modelo.</w:t>
      </w:r>
    </w:p>
    <w:p>
      <w:pPr>
        <w:spacing w:line="360" w:lineRule="auto" w:after="0"/>
        <w:ind w:left="340" w:hanging="340"/>
      </w:pPr>
      <w:r/>
      <w:r>
        <w:rPr>
          <w:rFonts w:ascii="Times New Roman" w:hAnsi="Times New Roman"/>
          <w:b w:val="0"/>
          <w:sz w:val="24"/>
        </w:rPr>
        <w:t>4. Para proveedores remotos, introduzca la clave API. Para Ollama, indique la URL del servicio local.</w:t>
      </w:r>
    </w:p>
    <w:p>
      <w:pPr>
        <w:spacing w:line="360" w:lineRule="auto" w:after="0"/>
        <w:ind w:left="340" w:hanging="340"/>
      </w:pPr>
      <w:r/>
      <w:r>
        <w:rPr>
          <w:rFonts w:ascii="Times New Roman" w:hAnsi="Times New Roman"/>
          <w:b w:val="0"/>
          <w:sz w:val="24"/>
        </w:rPr>
        <w:t>5. Mantenga habilitado el respaldo si desea que otro proveedor configurado sea intentado ante una falla.</w:t>
      </w:r>
    </w:p>
    <w:p>
      <w:pPr>
        <w:spacing w:line="360" w:lineRule="auto" w:after="0"/>
        <w:ind w:left="340" w:hanging="340"/>
      </w:pPr>
      <w:r/>
      <w:r>
        <w:rPr>
          <w:rFonts w:ascii="Times New Roman" w:hAnsi="Times New Roman"/>
          <w:b w:val="0"/>
          <w:sz w:val="24"/>
        </w:rPr>
        <w:t>6. Guarde y confirme que el estado del proveedor aparezca como configurado.</w:t>
      </w:r>
    </w:p>
    <w:p>
      <w:pPr>
        <w:jc w:val="left"/>
      </w:pPr>
      <w:r>
        <w:rPr>
          <w:rFonts w:ascii="Times New Roman" w:hAnsi="Times New Roman"/>
          <w:b/>
          <w:color w:val="000000"/>
          <w:sz w:val="20"/>
        </w:rPr>
        <w:t>Tabla 5. Proveedores de IA admitidos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tblHeader w:val="true"/>
          <w:cantSplit/>
        </w:trPr>
        <w:tc>
          <w:tcPr>
            <w:tcW w:type="dxa" w:w="2268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Proveedor</w:t>
            </w:r>
          </w:p>
        </w:tc>
        <w:tc>
          <w:tcPr>
            <w:tcW w:type="dxa" w:w="1984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Credencial</w:t>
            </w:r>
          </w:p>
        </w:tc>
        <w:tc>
          <w:tcPr>
            <w:tcW w:type="dxa" w:w="4535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Configuración habitual del proyecto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Google Gemini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API key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GEMINI_API_KEY / GEMINI_MODEL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OpenAI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API key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OPENAI_API_KEY / OPENAI_MODEL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Anthropic Claude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API key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ANTHROPIC_API_KEY / ANTHROPIC_MODEL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DeepSeek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API key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DEEPSEEK_API_KEY / DEEPSEEK_MODEL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Groq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API key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GROQ_API_KEY / GROQ_MODEL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Ollama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 requiere API key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OLLAMA_ENABLED / OLLAMA_URL / OLLAMA_MODEL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47197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719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color w:val="000000"/>
          <w:sz w:val="20"/>
        </w:rPr>
        <w:t>Figura 3. Selección del proveedor y mecanismo de fallback.</w:t>
      </w:r>
    </w:p>
    <w:p>
      <w:pPr>
        <w:pStyle w:val="Heading1"/>
      </w:pPr>
      <w:r>
        <w:t>10. Probar un agente creado</w:t>
      </w:r>
    </w:p>
    <w:p>
      <w:pPr>
        <w:spacing w:line="360" w:lineRule="auto"/>
        <w:jc w:val="both"/>
      </w:pPr>
      <w:r>
        <w:rPr>
          <w:rFonts w:ascii="Times New Roman" w:hAnsi="Times New Roman"/>
          <w:i w:val="0"/>
          <w:color w:val="000000"/>
          <w:sz w:val="24"/>
        </w:rPr>
        <w:t>Después de una compilación válida, el selector de agentes se habilita. El mensaje escrito por el usuario se procesa junto con el contexto del agente: nombre, objetivo, inteligencia, memoria, herramientas, permisos y restricciones. Si el agente posee una herramienta de IA, el backend intenta el proveedor preferido; si no, la respuesta procede del runtime local.</w:t>
      </w:r>
    </w:p>
    <w:p>
      <w:pPr>
        <w:spacing w:line="360" w:lineRule="auto"/>
        <w:jc w:val="both"/>
      </w:pPr>
      <w:r>
        <w:rPr>
          <w:rFonts w:ascii="Times New Roman" w:hAnsi="Times New Roman"/>
          <w:i w:val="0"/>
          <w:color w:val="000000"/>
          <w:sz w:val="24"/>
        </w:rPr>
        <w:t>La traza es especialmente importante durante la exposición: permite evidenciar el flujo ejecutado, las acciones realizadas, el proveedor que respondió, el modelo y los intentos fallidos previos. Esto diferencia el funcionamiento real de una simple interfaz simulada.</w:t>
      </w:r>
    </w:p>
    <w:p>
      <w:pPr>
        <w:pStyle w:val="Heading1"/>
      </w:pPr>
      <w:r>
        <w:t>11. Interpretación de las pestañas técnicas</w:t>
      </w:r>
    </w:p>
    <w:p>
      <w:pPr>
        <w:jc w:val="left"/>
      </w:pPr>
      <w:r>
        <w:rPr>
          <w:rFonts w:ascii="Times New Roman" w:hAnsi="Times New Roman"/>
          <w:b/>
          <w:color w:val="000000"/>
          <w:sz w:val="20"/>
        </w:rPr>
        <w:t>Tabla 6. Lectura de resultados técnicos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tblHeader w:val="true"/>
          <w:cantSplit/>
        </w:trPr>
        <w:tc>
          <w:tcPr>
            <w:tcW w:type="dxa" w:w="1417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Pestaña</w:t>
            </w:r>
          </w:p>
        </w:tc>
        <w:tc>
          <w:tcPr>
            <w:tcW w:type="dxa" w:w="3685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Qué muestra</w:t>
            </w:r>
          </w:p>
        </w:tc>
        <w:tc>
          <w:tcPr>
            <w:tcW w:type="dxa" w:w="3685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Qué debe verificar el usuario</w:t>
            </w:r>
          </w:p>
        </w:tc>
      </w:tr>
      <w:tr>
        <w:trPr>
          <w:cantSplit/>
        </w:trPr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Tokens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Lexemas clasificados por el lexer.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Que no existan tokens de error y que línea/columna sean coherentes.</w:t>
            </w:r>
          </w:p>
        </w:tc>
      </w:tr>
      <w:tr>
        <w:trPr>
          <w:cantSplit/>
        </w:trPr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AST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Estructura jerárquica del programa.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Agentes, flujos, campos y condicionales correctamente organizados.</w:t>
            </w:r>
          </w:p>
        </w:tc>
      </w:tr>
      <w:tr>
        <w:trPr>
          <w:cantSplit/>
        </w:trPr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Runtime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Estado de agentes y ejecución.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Agentes activos y acciones del flujo.</w:t>
            </w:r>
          </w:p>
        </w:tc>
      </w:tr>
      <w:tr>
        <w:trPr>
          <w:cantSplit/>
        </w:trPr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TAC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Código intermedio de tres direcciones/operaciones.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Creación/configuración de agentes, llamadas, saltos y etiquetas.</w:t>
            </w:r>
          </w:p>
        </w:tc>
      </w:tr>
      <w:tr>
        <w:trPr>
          <w:cantSplit/>
        </w:trPr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SAM-VM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Código final textual de la máquina virtual académica.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Instrucciones LOAD_AGENT, EXECUTE, JUMP, GRANT y HALT, entre otras.</w:t>
            </w:r>
          </w:p>
        </w:tc>
      </w:tr>
    </w:tbl>
    <w:p/>
    <w:p>
      <w:pPr>
        <w:pStyle w:val="Heading1"/>
      </w:pPr>
      <w:r>
        <w:t>12. Mensajes de error y solución de problemas</w:t>
      </w:r>
    </w:p>
    <w:p>
      <w:pPr>
        <w:jc w:val="left"/>
      </w:pPr>
      <w:r>
        <w:rPr>
          <w:rFonts w:ascii="Times New Roman" w:hAnsi="Times New Roman"/>
          <w:b/>
          <w:color w:val="000000"/>
          <w:sz w:val="20"/>
        </w:rPr>
        <w:t>Tabla 7. Catálogo de errores frecuentes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tblHeader w:val="true"/>
          <w:cantSplit/>
        </w:trPr>
        <w:tc>
          <w:tcPr>
            <w:tcW w:type="dxa" w:w="2268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/>
                <w:color w:val="000000"/>
                <w:sz w:val="17"/>
              </w:rPr>
              <w:t>Mensaje/código</w:t>
            </w:r>
          </w:p>
        </w:tc>
        <w:tc>
          <w:tcPr>
            <w:tcW w:type="dxa" w:w="3118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/>
                <w:color w:val="000000"/>
                <w:sz w:val="17"/>
              </w:rPr>
              <w:t>Causa probable</w:t>
            </w:r>
          </w:p>
        </w:tc>
        <w:tc>
          <w:tcPr>
            <w:tcW w:type="dxa" w:w="3402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/>
                <w:color w:val="000000"/>
                <w:sz w:val="17"/>
              </w:rPr>
              <w:t>Acción recomendada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listen EACCES / puerto ocupado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Otro proceso usa el puerto o existe una restricción del sistema.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Usar PORT=3000 u otro puerto libre; no es obligatorio 8080.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No se encontró sam_compilador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El binario C++ no fue construido o no está en una ruta reconocida.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Ejecutar CMake y construir el proyecto.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ERROR LEXICO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Carácter o lexema no reconocido.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Corregir la línea/columna indicada.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RECHAZO PDA / RECHAZO PARSER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Estructura sintáctica incompleta o inválida.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Revisar llaves, punto y coma, listas, paréntesis y operadores.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Error semántico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Dependencia, coordinador o destino inexistente/duplicado.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Corregir referencias entre agentes o runtime.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AI_NOT_DECLARED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El agente no declaró ia ni un proveedor reconocido.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Agregar herramientas: [ia]; o un proveedor explícito.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NOT_CONFIGURED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No existe credencial/configuración para el proveedor.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Configurar el proveedor o seleccionar otro.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TIMEOUT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El proveedor no respondió dentro del tiempo configurado.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Reintentar; revisar conectividad o habilitar fallback.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RATE_LIMIT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Cuota o límite de solicitudes alcanzado.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Esperar o utilizar otro proveedor configurado.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ALL_PROVIDERS_FAILED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Todos los proveedores disponibles fallaron.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Revisar credenciales, modelos, red y cuotas; usar respaldo local.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WEB_CONFIG_DISABLED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El despliegue público impide guardar claves desde la web.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El administrador debe configurar secretos en el hosting.</w:t>
            </w:r>
          </w:p>
        </w:tc>
      </w:tr>
    </w:tbl>
    <w:p/>
    <w:p>
      <w:pPr>
        <w:pStyle w:val="Heading1"/>
      </w:pPr>
      <w:r>
        <w:t>13. Seguridad para el usuario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color w:val="000000"/>
          <w:sz w:val="24"/>
        </w:rPr>
        <w:t>No comparta claves API por chat, correo, capturas, repositorios o documentos.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color w:val="000000"/>
          <w:sz w:val="24"/>
        </w:rPr>
        <w:t>No incluya config/.env en Git o en el ZIP de entrega.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color w:val="000000"/>
          <w:sz w:val="24"/>
        </w:rPr>
        <w:t>En un despliegue público, las claves deben residir en variables secretas del servidor y ALLOW_WEB_CONFIG debe permanecer deshabilitado.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color w:val="000000"/>
          <w:sz w:val="24"/>
        </w:rPr>
        <w:t>Revise que la traza y las capturas no muestren credenciales.</w:t>
      </w:r>
    </w:p>
    <w:p>
      <w:pPr>
        <w:pStyle w:val="ListBullet"/>
        <w:spacing w:line="360" w:lineRule="auto" w:after="0"/>
      </w:pPr>
      <w:r>
        <w:rPr>
          <w:rFonts w:ascii="Times New Roman" w:hAnsi="Times New Roman"/>
          <w:color w:val="000000"/>
          <w:sz w:val="24"/>
        </w:rPr>
        <w:t>Verifique la disponibilidad del modelo antes de una exposición, ya que los nombres y accesos pueden cambiar por proveedor.</w:t>
      </w:r>
    </w:p>
    <w:p>
      <w:pPr>
        <w:pStyle w:val="Heading1"/>
      </w:pPr>
      <w:r>
        <w:t>14. Procedimiento de demostración para el docente</w:t>
      </w:r>
    </w:p>
    <w:p>
      <w:pPr>
        <w:spacing w:line="360" w:lineRule="auto" w:after="0"/>
        <w:ind w:left="340" w:hanging="340"/>
      </w:pPr>
      <w:r/>
      <w:r>
        <w:rPr>
          <w:rFonts w:ascii="Times New Roman" w:hAnsi="Times New Roman"/>
          <w:b w:val="0"/>
          <w:sz w:val="24"/>
        </w:rPr>
        <w:t>1. Abrir la URL pública.</w:t>
      </w:r>
    </w:p>
    <w:p>
      <w:pPr>
        <w:spacing w:line="360" w:lineRule="auto" w:after="0"/>
        <w:ind w:left="340" w:hanging="340"/>
      </w:pPr>
      <w:r/>
      <w:r>
        <w:rPr>
          <w:rFonts w:ascii="Times New Roman" w:hAnsi="Times New Roman"/>
          <w:b w:val="0"/>
          <w:sz w:val="24"/>
        </w:rPr>
        <w:t>2. Cargar multimodelo.sam.</w:t>
      </w:r>
    </w:p>
    <w:p>
      <w:pPr>
        <w:spacing w:line="360" w:lineRule="auto" w:after="0"/>
        <w:ind w:left="340" w:hanging="340"/>
      </w:pPr>
      <w:r/>
      <w:r>
        <w:rPr>
          <w:rFonts w:ascii="Times New Roman" w:hAnsi="Times New Roman"/>
          <w:b w:val="0"/>
          <w:sz w:val="24"/>
        </w:rPr>
        <w:t>3. Compilar y mostrar la consola de aceptación.</w:t>
      </w:r>
    </w:p>
    <w:p>
      <w:pPr>
        <w:spacing w:line="360" w:lineRule="auto" w:after="0"/>
        <w:ind w:left="340" w:hanging="340"/>
      </w:pPr>
      <w:r/>
      <w:r>
        <w:rPr>
          <w:rFonts w:ascii="Times New Roman" w:hAnsi="Times New Roman"/>
          <w:b w:val="0"/>
          <w:sz w:val="24"/>
        </w:rPr>
        <w:t>4. Abrir Tokens y AST para evidenciar análisis formal.</w:t>
      </w:r>
    </w:p>
    <w:p>
      <w:pPr>
        <w:spacing w:line="360" w:lineRule="auto" w:after="0"/>
        <w:ind w:left="340" w:hanging="340"/>
      </w:pPr>
      <w:r/>
      <w:r>
        <w:rPr>
          <w:rFonts w:ascii="Times New Roman" w:hAnsi="Times New Roman"/>
          <w:b w:val="0"/>
          <w:sz w:val="24"/>
        </w:rPr>
        <w:t>5. Abrir TAC y SAM-VM para evidenciar generación de código.</w:t>
      </w:r>
    </w:p>
    <w:p>
      <w:pPr>
        <w:spacing w:line="360" w:lineRule="auto" w:after="0"/>
        <w:ind w:left="340" w:hanging="340"/>
      </w:pPr>
      <w:r/>
      <w:r>
        <w:rPr>
          <w:rFonts w:ascii="Times New Roman" w:hAnsi="Times New Roman"/>
          <w:b w:val="0"/>
          <w:sz w:val="24"/>
        </w:rPr>
        <w:t>6. Seleccionar el agente y enviar un mensaje.</w:t>
      </w:r>
    </w:p>
    <w:p>
      <w:pPr>
        <w:spacing w:line="360" w:lineRule="auto" w:after="0"/>
        <w:ind w:left="340" w:hanging="340"/>
      </w:pPr>
      <w:r/>
      <w:r>
        <w:rPr>
          <w:rFonts w:ascii="Times New Roman" w:hAnsi="Times New Roman"/>
          <w:b w:val="0"/>
          <w:sz w:val="24"/>
        </w:rPr>
        <w:t>7. Mostrar proveedor/modelo en la traza.</w:t>
      </w:r>
    </w:p>
    <w:p>
      <w:pPr>
        <w:spacing w:line="360" w:lineRule="auto" w:after="0"/>
        <w:ind w:left="340" w:hanging="340"/>
      </w:pPr>
      <w:r/>
      <w:r>
        <w:rPr>
          <w:rFonts w:ascii="Times New Roman" w:hAnsi="Times New Roman"/>
          <w:b w:val="0"/>
          <w:sz w:val="24"/>
        </w:rPr>
        <w:t>8. Cargar error_semantico.sam y demostrar que el sistema rechaza el programa inválido.</w:t>
      </w:r>
    </w:p>
    <w:p>
      <w:pPr>
        <w:pStyle w:val="Heading1"/>
      </w:pPr>
      <w:r>
        <w:t>15. Preguntas frecuentes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blHeader w:val="true"/>
          <w:cantSplit/>
        </w:trPr>
        <w:tc>
          <w:tcPr>
            <w:tcW w:type="dxa" w:w="3402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Pregunta</w:t>
            </w:r>
          </w:p>
        </w:tc>
        <w:tc>
          <w:tcPr>
            <w:tcW w:type="dxa" w:w="5386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Respuesta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¿El sistema necesita Internet?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El compilador y runtime local no; las IAs remotas sí. Ollama puede funcionar en la red/local.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¿Debo usar siempre Gemini?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No. La versión 2 permite varios proveedores y herramientas: [ia].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¿Puedo cambiar el puerto?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Sí. El servidor utiliza PORT y por defecto 3000.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¿Por qué el docente solo debe recibir una URL?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Porque el despliegue web elimina la instalación local para el evaluador.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¿El navegador contiene las claves?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 deben quedar embebidas en frontend. En local se envían al backend para guardarlas; en producción se recomiendan secretos del servidor.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¿Qué pasa si todas las IAs fallan?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La capa IA informa los intentos y la interfaz conserva el respaldo del runtime local cuando corresponde.</w:t>
            </w:r>
          </w:p>
        </w:tc>
      </w:tr>
    </w:tbl>
    <w:p/>
    <w:p>
      <w:pPr>
        <w:pStyle w:val="Heading1"/>
      </w:pPr>
      <w:r>
        <w:t>16. Glosario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blHeader w:val="true"/>
          <w:cantSplit/>
        </w:trPr>
        <w:tc>
          <w:tcPr>
            <w:tcW w:type="dxa" w:w="1984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Término</w:t>
            </w:r>
          </w:p>
        </w:tc>
        <w:tc>
          <w:tcPr>
            <w:tcW w:type="dxa" w:w="6803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Definición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AFD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Autómata finito determinista empleado como referencia para el análisis léxico.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PDA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Autómata de pila utilizado para verificación sintáctica tabular.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Token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Unidad léxica producida por el lexer.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AST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Árbol de sintaxis abstracta que representa la estructura del programa.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Semántica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Validaciones de coherencia que exceden la forma gramatical.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Runtime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Motor que activa agentes y ejecuta flujos.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TAC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Representación intermedia de operaciones del programa.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SAM-VM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Formato de código final textual definido por el proyecto.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API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Interfaz de programación usada para conectar el backend con servicios de IA.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Fallback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Uso de un proveedor alternativo cuando el preferido falla.</w:t>
            </w:r>
          </w:p>
        </w:tc>
      </w:tr>
    </w:tbl>
    <w:p/>
    <w:p>
      <w:pPr>
        <w:pStyle w:val="Heading1"/>
      </w:pPr>
      <w:r>
        <w:t>Anexo A. Práctica guiada</w:t>
      </w:r>
    </w:p>
    <w:p>
      <w:pPr>
        <w:spacing w:line="360" w:lineRule="auto"/>
        <w:jc w:val="both"/>
      </w:pPr>
      <w:r>
        <w:rPr>
          <w:rFonts w:ascii="Times New Roman" w:hAnsi="Times New Roman"/>
          <w:i w:val="0"/>
          <w:color w:val="000000"/>
          <w:sz w:val="24"/>
        </w:rPr>
        <w:t>Objetivo: comprobar de principio a fin que el sistema diferencia un programa válido de uno inválido y que puede ejecutar un agente con IA o con respaldo local.</w:t>
      </w:r>
    </w:p>
    <w:p>
      <w:pPr>
        <w:spacing w:line="360" w:lineRule="auto" w:after="0"/>
        <w:ind w:left="340" w:hanging="340"/>
      </w:pPr>
      <w:r/>
      <w:r>
        <w:rPr>
          <w:rFonts w:ascii="Times New Roman" w:hAnsi="Times New Roman"/>
          <w:b w:val="0"/>
          <w:sz w:val="24"/>
        </w:rPr>
        <w:t>1. Cargue multimodelo.sam y compile.</w:t>
      </w:r>
    </w:p>
    <w:p>
      <w:pPr>
        <w:spacing w:line="360" w:lineRule="auto" w:after="0"/>
        <w:ind w:left="340" w:hanging="340"/>
      </w:pPr>
      <w:r/>
      <w:r>
        <w:rPr>
          <w:rFonts w:ascii="Times New Roman" w:hAnsi="Times New Roman"/>
          <w:b w:val="0"/>
          <w:sz w:val="24"/>
        </w:rPr>
        <w:t>2. Anote el número de agentes y runtimes reportados.</w:t>
      </w:r>
    </w:p>
    <w:p>
      <w:pPr>
        <w:spacing w:line="360" w:lineRule="auto" w:after="0"/>
        <w:ind w:left="340" w:hanging="340"/>
      </w:pPr>
      <w:r/>
      <w:r>
        <w:rPr>
          <w:rFonts w:ascii="Times New Roman" w:hAnsi="Times New Roman"/>
          <w:b w:val="0"/>
          <w:sz w:val="24"/>
        </w:rPr>
        <w:t>3. Compare el TAC original con el optimizado.</w:t>
      </w:r>
    </w:p>
    <w:p>
      <w:pPr>
        <w:spacing w:line="360" w:lineRule="auto" w:after="0"/>
        <w:ind w:left="340" w:hanging="340"/>
      </w:pPr>
      <w:r/>
      <w:r>
        <w:rPr>
          <w:rFonts w:ascii="Times New Roman" w:hAnsi="Times New Roman"/>
          <w:b w:val="0"/>
          <w:sz w:val="24"/>
        </w:rPr>
        <w:t>4. Abra SAM-VM y ubique HALT.</w:t>
      </w:r>
    </w:p>
    <w:p>
      <w:pPr>
        <w:spacing w:line="360" w:lineRule="auto" w:after="0"/>
        <w:ind w:left="340" w:hanging="340"/>
      </w:pPr>
      <w:r/>
      <w:r>
        <w:rPr>
          <w:rFonts w:ascii="Times New Roman" w:hAnsi="Times New Roman"/>
          <w:b w:val="0"/>
          <w:sz w:val="24"/>
        </w:rPr>
        <w:t>5. Envíe un mensaje al agente.</w:t>
      </w:r>
    </w:p>
    <w:p>
      <w:pPr>
        <w:spacing w:line="360" w:lineRule="auto" w:after="0"/>
        <w:ind w:left="340" w:hanging="340"/>
      </w:pPr>
      <w:r/>
      <w:r>
        <w:rPr>
          <w:rFonts w:ascii="Times New Roman" w:hAnsi="Times New Roman"/>
          <w:b w:val="0"/>
          <w:sz w:val="24"/>
        </w:rPr>
        <w:t>6. Cargue error_semantico.sam y registre el diagnóstico.</w:t>
      </w:r>
    </w:p>
    <w:p>
      <w:pPr>
        <w:spacing w:line="360" w:lineRule="auto" w:after="0"/>
        <w:ind w:left="340" w:hanging="340"/>
      </w:pPr>
      <w:r/>
      <w:r>
        <w:rPr>
          <w:rFonts w:ascii="Times New Roman" w:hAnsi="Times New Roman"/>
          <w:b w:val="0"/>
          <w:sz w:val="24"/>
        </w:rPr>
        <w:t>7. Explique por qué el segundo archivo debe ser rechazado.</w:t>
      </w:r>
    </w:p>
    <w:p>
      <w:pPr>
        <w:pStyle w:val="Heading1"/>
      </w:pPr>
      <w:r>
        <w:t>Referencias</w:t>
      </w:r>
    </w:p>
    <w:p>
      <w:pPr>
        <w:spacing w:line="360" w:lineRule="auto"/>
        <w:ind w:left="720" w:hanging="720"/>
        <w:jc w:val="left"/>
      </w:pPr>
      <w:r>
        <w:rPr>
          <w:rFonts w:ascii="Times New Roman" w:hAnsi="Times New Roman"/>
          <w:color w:val="000000"/>
          <w:sz w:val="22"/>
        </w:rPr>
        <w:t>Aho, A. V., Lam, M. S., Sethi, R., &amp; Ullman, J. D. (2007). Compilers: Principles, Techniques, and Tools (2nd ed.). Pearson.</w:t>
      </w:r>
    </w:p>
    <w:p>
      <w:pPr>
        <w:spacing w:line="360" w:lineRule="auto"/>
        <w:ind w:left="720" w:hanging="720"/>
        <w:jc w:val="left"/>
      </w:pPr>
      <w:r>
        <w:rPr>
          <w:rFonts w:ascii="Times New Roman" w:hAnsi="Times New Roman"/>
          <w:color w:val="000000"/>
          <w:sz w:val="22"/>
        </w:rPr>
        <w:t>Hopcroft, J. E., Motwani, R., &amp; Ullman, J. D. (2007). Introduction to Automata Theory, Languages, and Computation (3rd ed.). Pearson.</w:t>
      </w:r>
    </w:p>
    <w:p>
      <w:pPr>
        <w:spacing w:line="360" w:lineRule="auto"/>
        <w:ind w:left="720" w:hanging="720"/>
        <w:jc w:val="left"/>
      </w:pPr>
      <w:r>
        <w:rPr>
          <w:rFonts w:ascii="Times New Roman" w:hAnsi="Times New Roman"/>
          <w:color w:val="000000"/>
          <w:sz w:val="22"/>
        </w:rPr>
        <w:t>Node.js. (2026). HTTP API. Node.js Documentation. https://nodejs.org/api/http.html</w:t>
      </w:r>
    </w:p>
    <w:p>
      <w:pPr>
        <w:spacing w:line="360" w:lineRule="auto"/>
        <w:ind w:left="720" w:hanging="720"/>
        <w:jc w:val="left"/>
      </w:pPr>
      <w:r>
        <w:rPr>
          <w:rFonts w:ascii="Times New Roman" w:hAnsi="Times New Roman"/>
          <w:color w:val="000000"/>
          <w:sz w:val="22"/>
        </w:rPr>
        <w:t>Kitware. (2026). CMake command-line reference. https://cmake.org/cmake/help/latest/manual/cmake.1.html</w:t>
      </w:r>
    </w:p>
    <w:p>
      <w:pPr>
        <w:spacing w:line="360" w:lineRule="auto"/>
        <w:ind w:left="720" w:hanging="720"/>
        <w:jc w:val="left"/>
      </w:pPr>
      <w:r>
        <w:rPr>
          <w:rFonts w:ascii="Times New Roman" w:hAnsi="Times New Roman"/>
          <w:color w:val="000000"/>
          <w:sz w:val="22"/>
        </w:rPr>
        <w:t>Docker. (2026). Dockerfile reference. https://docs.docker.com/reference/dockerfile/</w:t>
      </w:r>
    </w:p>
    <w:p>
      <w:pPr>
        <w:spacing w:line="360" w:lineRule="auto"/>
        <w:ind w:left="720" w:hanging="720"/>
        <w:jc w:val="left"/>
      </w:pPr>
      <w:r>
        <w:rPr>
          <w:rFonts w:ascii="Times New Roman" w:hAnsi="Times New Roman"/>
          <w:color w:val="000000"/>
          <w:sz w:val="22"/>
        </w:rPr>
        <w:t>Google. (2026). Gemini API: API keys and generateContent. Google AI for Developers. https://ai.google.dev/gemini-api/docs/generate-content/api-key</w:t>
      </w:r>
    </w:p>
    <w:p>
      <w:pPr>
        <w:spacing w:line="360" w:lineRule="auto"/>
        <w:ind w:left="720" w:hanging="720"/>
        <w:jc w:val="left"/>
      </w:pPr>
      <w:r>
        <w:rPr>
          <w:rFonts w:ascii="Times New Roman" w:hAnsi="Times New Roman"/>
          <w:color w:val="000000"/>
          <w:sz w:val="22"/>
        </w:rPr>
        <w:t>OpenAI. (2026). OpenAI API documentation: Responses API and model guidance. https://developers.openai.com/api/docs/</w:t>
      </w:r>
    </w:p>
    <w:p>
      <w:pPr>
        <w:spacing w:line="360" w:lineRule="auto"/>
        <w:ind w:left="720" w:hanging="720"/>
        <w:jc w:val="left"/>
      </w:pPr>
      <w:r>
        <w:rPr>
          <w:rFonts w:ascii="Times New Roman" w:hAnsi="Times New Roman"/>
          <w:color w:val="000000"/>
          <w:sz w:val="22"/>
        </w:rPr>
        <w:t>Anthropic. (2026). Messages API. Claude Platform Docs. https://docs.anthropic.com/en/api/messages</w:t>
      </w:r>
    </w:p>
    <w:p>
      <w:pPr>
        <w:spacing w:line="360" w:lineRule="auto"/>
        <w:ind w:left="720" w:hanging="720"/>
        <w:jc w:val="left"/>
      </w:pPr>
      <w:r>
        <w:rPr>
          <w:rFonts w:ascii="Times New Roman" w:hAnsi="Times New Roman"/>
          <w:color w:val="000000"/>
          <w:sz w:val="22"/>
        </w:rPr>
        <w:t>DeepSeek. (2026). DeepSeek API documentation. https://api-docs.deepseek.com/</w:t>
      </w:r>
    </w:p>
    <w:p>
      <w:pPr>
        <w:spacing w:line="360" w:lineRule="auto"/>
        <w:ind w:left="720" w:hanging="720"/>
        <w:jc w:val="left"/>
      </w:pPr>
      <w:r>
        <w:rPr>
          <w:rFonts w:ascii="Times New Roman" w:hAnsi="Times New Roman"/>
          <w:color w:val="000000"/>
          <w:sz w:val="22"/>
        </w:rPr>
        <w:t>Groq. (2026). OpenAI compatibility. GroqDocs. https://console.groq.com/docs/openai</w:t>
      </w:r>
    </w:p>
    <w:p>
      <w:pPr>
        <w:spacing w:line="360" w:lineRule="auto"/>
        <w:ind w:left="720" w:hanging="720"/>
        <w:jc w:val="left"/>
      </w:pPr>
      <w:r>
        <w:rPr>
          <w:rFonts w:ascii="Times New Roman" w:hAnsi="Times New Roman"/>
          <w:color w:val="000000"/>
          <w:sz w:val="22"/>
        </w:rPr>
        <w:t>Ollama. (2026). API reference: chat. https://docs.ollama.com/api/chat</w:t>
      </w:r>
    </w:p>
    <w:p>
      <w:pPr>
        <w:spacing w:line="360" w:lineRule="auto"/>
        <w:ind w:left="720" w:hanging="720"/>
        <w:jc w:val="left"/>
      </w:pPr>
      <w:r>
        <w:rPr>
          <w:rFonts w:ascii="Times New Roman" w:hAnsi="Times New Roman"/>
          <w:color w:val="000000"/>
          <w:sz w:val="22"/>
        </w:rPr>
        <w:t>Render. (2026). Web Services and Docker on Render. https://render.com/docs/web-services</w:t>
      </w:r>
    </w:p>
    <w:p>
      <w:pPr>
        <w:spacing w:line="360" w:lineRule="auto"/>
        <w:ind w:left="720" w:hanging="720"/>
        <w:jc w:val="left"/>
      </w:pPr>
      <w:r>
        <w:rPr>
          <w:rFonts w:ascii="Times New Roman" w:hAnsi="Times New Roman"/>
          <w:color w:val="000000"/>
          <w:sz w:val="22"/>
        </w:rPr>
        <w:t>SAM-Lang Studio. (2026). Código fuente, autómatas, ejemplos y pruebas internas de la versión 2.0.0 [Proyecto académico].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666666"/>
        <w:sz w:val="18"/>
      </w:rPr>
      <w:t xml:space="preserve">Página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b/>
        <w:color w:val="666666"/>
        <w:sz w:val="18"/>
      </w:rPr>
      <w:t>SAM-Lang Studio v2.0.0 — Manual de usuario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200" w:after="8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line="240" w:lineRule="auto" w:before="80" w:after="80"/>
      <w:ind w:left="283" w:right="17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