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Times New Roman" w:hAnsi="Times New Roman"/>
          <w:b/>
          <w:color w:val="000000"/>
          <w:sz w:val="26"/>
        </w:rPr>
        <w:t>UNIVERSIDAD / INSTITUCIÓN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>[Completar nombre de la institución]</w:t>
      </w:r>
    </w:p>
    <w:p>
      <w:pPr>
        <w:spacing w:before="760"/>
        <w:jc w:val="center"/>
      </w:pPr>
      <w:r>
        <w:rPr>
          <w:rFonts w:ascii="Times New Roman" w:hAnsi="Times New Roman"/>
          <w:b/>
          <w:color w:val="000000"/>
          <w:sz w:val="40"/>
        </w:rPr>
        <w:t>SAM-LANG STUDIO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Compilador e intérprete de agentes con IA multimodelo</w:t>
      </w:r>
    </w:p>
    <w:p>
      <w:pPr>
        <w:spacing w:before="560"/>
        <w:jc w:val="center"/>
      </w:pPr>
      <w:r>
        <w:rPr>
          <w:rFonts w:ascii="Times New Roman" w:hAnsi="Times New Roman"/>
          <w:b/>
          <w:color w:val="000000"/>
          <w:sz w:val="36"/>
        </w:rPr>
        <w:t>MANUAL TÉCNICO</w:t>
      </w:r>
    </w:p>
    <w:p>
      <w:pPr>
        <w:jc w:val="center"/>
      </w:pPr>
      <w:r>
        <w:rPr>
          <w:rFonts w:ascii="Times New Roman" w:hAnsi="Times New Roman"/>
          <w:i/>
          <w:color w:val="000000"/>
          <w:sz w:val="24"/>
        </w:rPr>
        <w:t>Arquitectura, instalación, internals del compilador, API, pruebas, seguridad, despliegue y mantenimiento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Curso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Compiladores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Docente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Integrantes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 nombres y códigos]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Versión del sistema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2.0.0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 cuando el proyecto sea desplegado]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Lugar y 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[Ciudad], agosto de 2026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/>
          <w:i/>
          <w:color w:val="666666"/>
          <w:sz w:val="18"/>
        </w:rPr>
        <w:t>Documento técnico-académico elaborado a partir del código fuente, autómatas, pruebas y configuración de despliegue de SAM-Lang Studio v2.0.0.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Nombre del proyecto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SAM-Lang Studio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documentada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Tipo de documento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Manual técnico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Estado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final para revisión/entrega académica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de 2026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Responsable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[Completar]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 después del despliegue]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24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5839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1.0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Documentación inicial del compilador web.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Actualización integral: compilador C++17, runtime, TAC/SAM-VM, backend Node.js, IA multimodelo, seguridad y despliegue web.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general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19"/>
        </w:rPr>
        <w:t>1. Propósito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2. Línea base técnica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3. Estructura del repositorio</w:t>
      </w:r>
      <w:r>
        <w:rPr>
          <w:rFonts w:ascii="Times New Roman" w:hAnsi="Times New Roman"/>
          <w:sz w:val="19"/>
        </w:rPr>
        <w:t xml:space="preserve">  ····································  4</w:t>
        <w:br/>
      </w:r>
      <w:r>
        <w:rPr>
          <w:rFonts w:ascii="Times New Roman" w:hAnsi="Times New Roman"/>
          <w:sz w:val="19"/>
        </w:rPr>
        <w:t>4. Arquitectura general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  5</w:t>
        <w:br/>
      </w:r>
      <w:r>
        <w:rPr>
          <w:rFonts w:ascii="Times New Roman" w:hAnsi="Times New Roman"/>
          <w:sz w:val="19"/>
        </w:rPr>
        <w:t>5. Compilación del núcleo C++</w:t>
      </w:r>
      <w:r>
        <w:rPr>
          <w:rFonts w:ascii="Times New Roman" w:hAnsi="Times New Roman"/>
          <w:sz w:val="19"/>
        </w:rPr>
        <w:t xml:space="preserve">  ····································  6</w:t>
        <w:br/>
      </w:r>
      <w:r>
        <w:rPr>
          <w:rFonts w:ascii="Times New Roman" w:hAnsi="Times New Roman"/>
          <w:sz w:val="19"/>
        </w:rPr>
        <w:t>6. Analizador léxico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  7</w:t>
        <w:br/>
      </w:r>
      <w:r>
        <w:rPr>
          <w:rFonts w:ascii="Times New Roman" w:hAnsi="Times New Roman"/>
          <w:sz w:val="19"/>
        </w:rPr>
        <w:t>7. Verificador PDA tabular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  7</w:t>
        <w:br/>
      </w:r>
      <w:r>
        <w:rPr>
          <w:rFonts w:ascii="Times New Roman" w:hAnsi="Times New Roman"/>
          <w:sz w:val="19"/>
        </w:rPr>
        <w:t>8. Parser descendente y AST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  7</w:t>
        <w:br/>
      </w:r>
      <w:r>
        <w:rPr>
          <w:rFonts w:ascii="Times New Roman" w:hAnsi="Times New Roman"/>
          <w:sz w:val="19"/>
        </w:rPr>
        <w:t>9. Análisis semántico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  8</w:t>
        <w:br/>
      </w:r>
      <w:r>
        <w:rPr>
          <w:rFonts w:ascii="Times New Roman" w:hAnsi="Times New Roman"/>
          <w:sz w:val="19"/>
        </w:rPr>
        <w:t>10. Runtime y comunicación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  8</w:t>
        <w:br/>
      </w:r>
      <w:r>
        <w:rPr>
          <w:rFonts w:ascii="Times New Roman" w:hAnsi="Times New Roman"/>
          <w:sz w:val="19"/>
        </w:rPr>
        <w:t>11. TAC, optimización y SAM-VM</w:t>
      </w:r>
      <w:r>
        <w:rPr>
          <w:rFonts w:ascii="Times New Roman" w:hAnsi="Times New Roman"/>
          <w:sz w:val="19"/>
        </w:rPr>
        <w:t xml:space="preserve">  ···································  8</w:t>
        <w:br/>
      </w:r>
      <w:r>
        <w:rPr>
          <w:rFonts w:ascii="Times New Roman" w:hAnsi="Times New Roman"/>
          <w:sz w:val="19"/>
        </w:rPr>
        <w:t>12. Motor educativo del navegador</w:t>
      </w:r>
      <w:r>
        <w:rPr>
          <w:rFonts w:ascii="Times New Roman" w:hAnsi="Times New Roman"/>
          <w:sz w:val="19"/>
        </w:rPr>
        <w:t xml:space="preserve">  ································  9</w:t>
        <w:br/>
      </w:r>
      <w:r>
        <w:rPr>
          <w:rFonts w:ascii="Times New Roman" w:hAnsi="Times New Roman"/>
          <w:sz w:val="19"/>
        </w:rPr>
        <w:t>13. Frontend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  9</w:t>
        <w:br/>
      </w:r>
      <w:r>
        <w:rPr>
          <w:rFonts w:ascii="Times New Roman" w:hAnsi="Times New Roman"/>
          <w:sz w:val="19"/>
        </w:rPr>
        <w:t>14. Backend HTTP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  10</w:t>
        <w:br/>
      </w:r>
      <w:r>
        <w:rPr>
          <w:rFonts w:ascii="Times New Roman" w:hAnsi="Times New Roman"/>
          <w:sz w:val="19"/>
        </w:rPr>
        <w:t>15. Capa IA multimodelo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  11</w:t>
        <w:br/>
      </w:r>
      <w:r>
        <w:rPr>
          <w:rFonts w:ascii="Times New Roman" w:hAnsi="Times New Roman"/>
          <w:sz w:val="19"/>
        </w:rPr>
        <w:t>16. Configuración y secretos</w:t>
      </w:r>
      <w:r>
        <w:rPr>
          <w:rFonts w:ascii="Times New Roman" w:hAnsi="Times New Roman"/>
          <w:sz w:val="19"/>
        </w:rPr>
        <w:t xml:space="preserve">  ·····································  12</w:t>
        <w:br/>
      </w:r>
      <w:r>
        <w:rPr>
          <w:rFonts w:ascii="Times New Roman" w:hAnsi="Times New Roman"/>
          <w:sz w:val="19"/>
        </w:rPr>
        <w:t>17. Seguridad técnica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  13</w:t>
        <w:br/>
      </w:r>
      <w:r>
        <w:rPr>
          <w:rFonts w:ascii="Times New Roman" w:hAnsi="Times New Roman"/>
          <w:sz w:val="19"/>
        </w:rPr>
        <w:t>18. Pruebas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······················································  13</w:t>
        <w:br/>
      </w:r>
      <w:r>
        <w:rPr>
          <w:rFonts w:ascii="Times New Roman" w:hAnsi="Times New Roman"/>
          <w:sz w:val="19"/>
        </w:rPr>
        <w:t>19. Despliegue con Docker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  14</w:t>
        <w:br/>
      </w:r>
      <w:r>
        <w:rPr>
          <w:rFonts w:ascii="Times New Roman" w:hAnsi="Times New Roman"/>
          <w:sz w:val="19"/>
        </w:rPr>
        <w:t>20. Despliegue en Render u otro servicio</w:t>
      </w:r>
      <w:r>
        <w:rPr>
          <w:rFonts w:ascii="Times New Roman" w:hAnsi="Times New Roman"/>
          <w:sz w:val="19"/>
        </w:rPr>
        <w:t xml:space="preserve">  ·························  14</w:t>
        <w:br/>
      </w:r>
      <w:r>
        <w:rPr>
          <w:rFonts w:ascii="Times New Roman" w:hAnsi="Times New Roman"/>
          <w:sz w:val="19"/>
        </w:rPr>
        <w:t>21. Mantenimiento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  15</w:t>
        <w:br/>
      </w:r>
      <w:r>
        <w:rPr>
          <w:rFonts w:ascii="Times New Roman" w:hAnsi="Times New Roman"/>
          <w:sz w:val="19"/>
        </w:rPr>
        <w:t>22. Diagnóstico técnico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  15</w:t>
        <w:br/>
      </w:r>
      <w:r>
        <w:rPr>
          <w:rFonts w:ascii="Times New Roman" w:hAnsi="Times New Roman"/>
          <w:sz w:val="19"/>
        </w:rPr>
        <w:t>23. Gestión de versiones y respaldo</w:t>
      </w:r>
      <w:r>
        <w:rPr>
          <w:rFonts w:ascii="Times New Roman" w:hAnsi="Times New Roman"/>
          <w:sz w:val="19"/>
        </w:rPr>
        <w:t xml:space="preserve">  ······························  16</w:t>
        <w:br/>
      </w:r>
      <w:r>
        <w:rPr>
          <w:rFonts w:ascii="Times New Roman" w:hAnsi="Times New Roman"/>
          <w:sz w:val="19"/>
        </w:rPr>
        <w:t>24. Inventario de módulos y líneas</w:t>
      </w:r>
      <w:r>
        <w:rPr>
          <w:rFonts w:ascii="Times New Roman" w:hAnsi="Times New Roman"/>
          <w:sz w:val="19"/>
        </w:rPr>
        <w:t xml:space="preserve">  ·······························  16</w:t>
        <w:br/>
      </w:r>
      <w:r>
        <w:rPr>
          <w:rFonts w:ascii="Times New Roman" w:hAnsi="Times New Roman"/>
          <w:sz w:val="19"/>
        </w:rPr>
        <w:t>Anexo A. Checklist de liberación</w:t>
      </w:r>
      <w:r>
        <w:rPr>
          <w:rFonts w:ascii="Times New Roman" w:hAnsi="Times New Roman"/>
          <w:sz w:val="19"/>
        </w:rPr>
        <w:t xml:space="preserve">  ·································  17</w:t>
        <w:br/>
      </w:r>
      <w:r>
        <w:rPr>
          <w:rFonts w:ascii="Times New Roman" w:hAnsi="Times New Roman"/>
          <w:sz w:val="19"/>
        </w:rPr>
        <w:t>Referencias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······················································  17</w:t>
      </w:r>
    </w:p>
    <w:p>
      <w:r>
        <w:br w:type="page"/>
      </w:r>
    </w:p>
    <w:p>
      <w:pPr>
        <w:pStyle w:val="Heading1"/>
      </w:pPr>
      <w:r>
        <w:t>1. Propósito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Este manual documenta la arquitectura y operación técnica de SAM-Lang Studio v2.0.0. Está dirigido a desarrolladores, responsables de soporte y evaluadores que necesiten reproducir la construcción, comprender los módulos, revisar contratos de API, mantener la gramática, agregar proveedores de IA, ejecutar pruebas o desplegar la aplicación.</w:t>
      </w:r>
    </w:p>
    <w:p>
      <w:pPr>
        <w:pStyle w:val="Heading1"/>
      </w:pPr>
      <w:r>
        <w:t>2. Línea base técnica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1. Stack tecnológico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87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Tecnología/versión mínima</w:t>
            </w:r>
          </w:p>
        </w:tc>
        <w:tc>
          <w:tcPr>
            <w:tcW w:type="dxa" w:w="408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Compilador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C++17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Lexer, PDA, parser, AST, semántica, runtime, TAC, optimización y SAM-VM.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Construcción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CMake 3.10+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Generación del ejecutable sam_compilador.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Backend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Node.js 18+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Servidor HTTP y capa de integración con IA.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Frontend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HTML5/CSS3/JavaScript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IDE web y motor educativo.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Contenedor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Docker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Construcción reproducible para hosting.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Pruebas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Node.js + shell/CMake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58 checks JS y pruebas C++ adicionales.</w:t>
            </w:r>
          </w:p>
        </w:tc>
      </w:tr>
    </w:tbl>
    <w:p/>
    <w:p>
      <w:pPr>
        <w:pStyle w:val="Heading1"/>
      </w:pPr>
      <w:r>
        <w:t>3. Estructura del repositorio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SAM-LANG-STUDIO-v2/</w:t>
        <w:br/>
        <w:t>├── src/</w:t>
        <w:br/>
        <w:t>│   ├── main.cpp</w:t>
        <w:br/>
        <w:t>│   ├── analisis.{h,cpp}</w:t>
        <w:br/>
        <w:t>│   ├── parser.{h,cpp}</w:t>
        <w:br/>
        <w:t>│   ├── tablas_transicion.{h,cpp}</w:t>
        <w:br/>
        <w:t>│   ├── semantico.{h,cpp}</w:t>
        <w:br/>
        <w:t>│   ├── comunicacion.{h,cpp}</w:t>
        <w:br/>
        <w:t>│   ├── interprete.{h,cpp}</w:t>
        <w:br/>
        <w:t>│   ├── tac.{h,cpp}</w:t>
        <w:br/>
        <w:t>│   ├── optimizador.{h,cpp}</w:t>
        <w:br/>
        <w:t>│   ├── generador_codigo.{h,cpp}</w:t>
        <w:br/>
        <w:t>│   └── tokens.h</w:t>
        <w:br/>
        <w:t>├── backend/</w:t>
        <w:br/>
        <w:t>│   ├── server.js</w:t>
        <w:br/>
        <w:t>│   ├── gemini_client.js</w:t>
        <w:br/>
        <w:t>│   └── ai/</w:t>
        <w:br/>
        <w:t>│       ├── ai_manager.js</w:t>
        <w:br/>
        <w:t>│       ├── common.js</w:t>
        <w:br/>
        <w:t>│       ├── openai_compatible_client.js</w:t>
        <w:br/>
        <w:t>│       ├── anthropic_client.js</w:t>
        <w:br/>
        <w:t>│       └── ollama_client.js</w:t>
        <w:br/>
        <w:t>├── web/{index.html,style.css,app.js,sam-lang.js}</w:t>
        <w:br/>
        <w:t>├── ejemplos/*.sam</w:t>
        <w:br/>
        <w:t>├── automatas/*.jff</w:t>
        <w:br/>
        <w:t>├── tests/*.js + test_cpp.sh</w:t>
        <w:br/>
        <w:t>├── config/.env.example</w:t>
        <w:br/>
        <w:t>├── CMakeLists.txt</w:t>
        <w:br/>
        <w:t>├── package.json</w:t>
        <w:br/>
        <w:t>├── Dockerfile</w:t>
        <w:br/>
        <w:t>└── render.yaml</w:t>
      </w:r>
    </w:p>
    <w:p>
      <w:pPr>
        <w:pStyle w:val="Heading1"/>
      </w:pPr>
      <w:r>
        <w:t>4. Arquitectura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432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43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1. Arquitectura técnica de SAM-Lang Studio v2.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La arquitectura aplica separación por capas. El frontend no contiene claves. El backend centraliza operaciones que requieren acceso al sistema de archivos, ejecución del binario o credenciales. El compilador C++ se mantiene como implementación nativa; el motor JavaScript en web/sam-lang.js facilita la visualización educativa. La capa ai_manager.js abstrae los proveedores externos.</w:t>
      </w:r>
    </w:p>
    <w:p>
      <w:pPr>
        <w:pStyle w:val="Heading1"/>
      </w:pPr>
      <w:r>
        <w:t>5. Compilación del núcleo C++</w:t>
      </w:r>
    </w:p>
    <w:p>
      <w:pPr>
        <w:pStyle w:val="Heading2"/>
      </w:pPr>
      <w:r>
        <w:t>5.1 Construcción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cmake -S . -B build -DCMAKE_BUILD_TYPE=Release</w:t>
        <w:br/>
        <w:t>cmake --build build --config Release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CMakeLists.txt exige C++17 y activa /W4 en MSVC o -Wall -Wextra -pedantic en compiladores compatibles. El objetivo sam_compilador enlaza diez unidades .cpp.</w:t>
      </w:r>
    </w:p>
    <w:p>
      <w:pPr>
        <w:pStyle w:val="Heading2"/>
      </w:pPr>
      <w:r>
        <w:t>5.2 Uso por consola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sam_compilador archivo.sam [opciones]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2. Opciones CLI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Opción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Efecto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--sin-tokens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imprime la tabla de tokens.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--sin-ast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imprime el AST.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--sin-pda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Omite el PDA tabular.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--traza-pda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Muestra estado, token y tamaño de pila.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--sin-runtime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Valida/compila sin ejecutar agentes.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--sin-codigo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genera TAC ni SAM-VM.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--salida ruta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Define el archivo SAM-VM.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--resumen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Oculta tokens y AST.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--ayuda / -h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Muestra ayuda.</w:t>
            </w:r>
          </w:p>
        </w:tc>
      </w:tr>
    </w:tbl>
    <w:p/>
    <w:p>
      <w:pPr>
        <w:pStyle w:val="Heading2"/>
      </w:pPr>
      <w:r>
        <w:t>5.3 Códigos de salida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3. Códigos de terminación del compilador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Código</w:t>
            </w:r>
          </w:p>
        </w:tc>
        <w:tc>
          <w:tcPr>
            <w:tcW w:type="dxa" w:w="708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Significado según main.cpp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0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Ejecución correcta.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Excepción general/argumentos/archivo.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Error léxico.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Error sintáctico del parser.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Inconsistencia entre PDA y parser.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Error semántico.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Error al guardar SAM-VM.</w:t>
            </w:r>
          </w:p>
        </w:tc>
      </w:tr>
    </w:tbl>
    <w:p/>
    <w:p>
      <w:pPr>
        <w:pStyle w:val="Heading1"/>
      </w:pPr>
      <w:r>
        <w:t>6. Analizador léxico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src/analisis.cpp registra palabras reservadas, operadores y símbolos en TablaSimbolos. El token conserva lexema, código, línea, columna y detalle de error. El lexer reconoce cadenas, números, identificadores, booleanos, operadores de uno/dos caracteres y la flecha ASCII/Unicode.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4. Clasificación léxica resumida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Grupo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Tokens/lexemas representativos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Estructura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agente, runtime, {, }, :, ;, [, ], (, )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Campos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objetivo, inteligencia, herramientas, memoria, permisos, restricciones, depende_de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Flujos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flujo, flujo_dinamico, si, sino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Acciones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recibir, responder, difundir, conectar, escuchar, delega, coordina, supervisa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Runtime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coordinador, memoria_compartida, periodicidad, tiempo_real, adaptabilidad, politica_validacion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Operadores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&gt;, &lt;, &gt;=, &lt;=, ==, !=, -, !, -&gt; / →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Literales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identificador, número, cadena, true, false</w:t>
            </w:r>
          </w:p>
        </w:tc>
      </w:tr>
    </w:tbl>
    <w:p/>
    <w:p>
      <w:pPr>
        <w:pStyle w:val="Heading1"/>
      </w:pPr>
      <w:r>
        <w:t>7. Verificador PDA tabular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src/tablas_transicion.cpp implementa AnalizadorPDA mediante estados, pila y tablas de transición. El PDA actúa como segunda validación sintáctica independiente del parser. main.cpp compara pdaValido y parserValido; si las decisiones difieren, el programa devuelve código 5 como error interno. Esta verificación cruzada permite detectar regresiones de gramática.</w:t>
      </w:r>
    </w:p>
    <w:p>
      <w:pPr>
        <w:pStyle w:val="Heading1"/>
      </w:pPr>
      <w:r>
        <w:t>8. Parser descendente y AST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src/parser.cpp consume tokens con funciones recursivas específicas. La raíz NodoPrograma contiene vectores de NodoAgente y NodoRuntime. Los flujos contienen NodoPaso; un paso puede ser cadena o condicional. Las posiciones de fuente se conservan en los nodos para apoyar los diagnósticos posteriores.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5. Estructuras principales del 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Estructura AST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NodoPrograma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agentes, runtimes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NodoAgente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nombre, objetivo, inteligencia, memoria, herramientas, permisos, restricciones, dependencias, coordinación, delegaciones y flujos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NodoRuntime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coordinador, dependencias, memoria compartida, periodicidad, adaptabilidad y política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NodoFlujo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nombre, indicador dinámico y pasos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NodoPaso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cadena de elementos o condicional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NodoCondicional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operando izquierdo, operador, derecho, pasos si/sino y sino-si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NodoElementoFlujo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acción/nodo, nombre, argumentos y posición</w:t>
            </w:r>
          </w:p>
        </w:tc>
      </w:tr>
    </w:tbl>
    <w:p/>
    <w:p>
      <w:pPr>
        <w:pStyle w:val="Heading1"/>
      </w:pPr>
      <w:r>
        <w:t>9. Análisis semántico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AnalizadorSemantico registra los símbolos globales y valida relaciones que no pueden resolverse solo con la gramática. Entre las comprobaciones se encuentran dependencias de agente, coordinación, supervisión, delegaciones, referencias en flujos y coherencia de runtimes. El archivo error_semantico.sam se utiliza como prueba negativa.</w:t>
      </w:r>
    </w:p>
    <w:p>
      <w:pPr>
        <w:pStyle w:val="Heading1"/>
      </w:pPr>
      <w:r>
        <w:t>10. Runtime y comunicación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RuntimeSAM crea una representación activa de los agentes y recorre flujos. comunicacion.cpp gestiona el registro de mensajes entre agentes. El runtime produce un reporte de agentes activos y de comunicación. Esta fase demuestra que el AST no solo se imprime: también alimenta comportamiento de ejecución.</w:t>
      </w:r>
    </w:p>
    <w:p>
      <w:pPr>
        <w:pStyle w:val="Heading1"/>
      </w:pPr>
      <w:r>
        <w:t>11. TAC, optimización y SAM-VM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2. Pipeline completo desde fuente hasta SAM-VM.</w:t>
      </w:r>
    </w:p>
    <w:p>
      <w:pPr>
        <w:pStyle w:val="Heading2"/>
      </w:pPr>
      <w:r>
        <w:t>11.1 Generador TAC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GeneradorTAC emite operaciones de configuración, llamadas, saltos, etiquetas y runtime. Cada CALL puede producir un temporal Tn; los condicionales producen etiquetas ELSE/ENDIF y operaciones IF_FALSE_GOTO/GOTO/LABEL.</w:t>
      </w:r>
    </w:p>
    <w:p>
      <w:pPr>
        <w:pStyle w:val="Heading2"/>
      </w:pPr>
      <w:r>
        <w:t>11.2 Optimizador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OptimizadorTAC aplica reglas locales: elimina ARGUMENTS vacío, VISIT_NODE redundante, SET_MEMORY temporal y NOP; fusiona una CALL seguida por ARGUMENTS; elimina configuraciones repetidas y duplicados consecutivos de herramientas/permisos/restricciones/dependencias.</w:t>
      </w:r>
    </w:p>
    <w:p>
      <w:pPr>
        <w:pStyle w:val="Heading2"/>
      </w:pPr>
      <w:r>
        <w:t>11.3 Generador SAM-VM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GeneradorCodigoFinal traduce las operaciones TAC a instrucciones como LOAD_AGENT, SET_OBJECTIVE, ADD_TOOL, GRANT, EXECUTE, JUMP_IF_FALSE, JUMP, LOAD_RUNTIME y HALT. El resultado se guarda en la ruta solicitada.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PROGRAM_BEGIN SAM_LANG</w:t>
        <w:br/>
        <w:t>CREATE_AGENT AsistenteMultiIA</w:t>
        <w:br/>
        <w:t>CALL AsistenteMultiIA, recibir mensaje -&gt; T1</w:t>
        <w:br/>
        <w:t>PROGRAM_END SAM_LANG</w:t>
        <w:br/>
        <w:br/>
        <w:t>=&gt;</w:t>
        <w:br/>
        <w:t>.program SAM_LANG</w:t>
        <w:br/>
        <w:t>LOAD_AGENT AsistenteMultiIA</w:t>
        <w:br/>
        <w:t>EXECUTE AsistenteMultiIA.recibir mensaje -&gt; T1</w:t>
        <w:br/>
        <w:t>.end_program SAM_LANG</w:t>
        <w:br/>
        <w:t>HALT</w:t>
      </w:r>
    </w:p>
    <w:p>
      <w:pPr>
        <w:pStyle w:val="Heading1"/>
      </w:pPr>
      <w:r>
        <w:t>12. Motor educativo del navegador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web/sam-lang.js expone una implementación JavaScript del pipeline para permitir que la interfaz muestre tokens, AST, TAC, SAM-VM y ejecución sin bloquear la experiencia visual. Esta implementación debe mantenerse alineada con el C++ cuando se modifique la gramática. Las pruebas test_web.js cubren los ejemplos incluidos y el error semántico.</w:t>
      </w:r>
    </w:p>
    <w:p>
      <w:pPr>
        <w:pStyle w:val="Heading1"/>
      </w:pPr>
      <w:r>
        <w:t>13. Frontend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web/app.js administra el estado global de la sesión, catálogo de ejemplos, compilación, pestañas, agentes activos, proveedor runtime y diálogo de configuración. Las solicitudes se realizan mediante fetch al mismo origen, evitando CORS en el despliegue estándar. web/index.html define componentes accesibles básicos —labels, aria-labels y dialog— y style.css implementa la distribución responsive.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6. Elementos principales de la interfaz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Elemento DOM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#codigo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Editor fuente.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#resultado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Consola.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#estado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Badge de compilación.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#agenteSelect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Selector de agente.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#providerRuntime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Proveedor en tiempo de ejecución.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#mensaje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Entrada de consulta.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#respuestaAgente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Respuesta final.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#trazaAgente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Traza técnica.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#detalle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Contenido de Tokens/AST/Runtime/TAC/VM.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#configAIDialog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Configuración de proveedores.</w:t>
            </w:r>
          </w:p>
        </w:tc>
      </w:tr>
    </w:tbl>
    <w:p/>
    <w:p>
      <w:pPr>
        <w:pStyle w:val="Heading1"/>
      </w:pPr>
      <w:r>
        <w:t>14. Backend HTTP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backend/server.js utiliza http.createServer. serveStatic limita la ruta al directorio web; readJson aplica límites de tamaño; sendJson añade Content-Type, no-store y nosniff. El host local por defecto es 127.0.0.1, pero en producción se inyecta HOST=0.0.0.0. El puerto se resuelve desde process.env.PORT, config/.env o 3000.</w:t>
      </w:r>
    </w:p>
    <w:p>
      <w:pPr>
        <w:pStyle w:val="Heading2"/>
      </w:pPr>
      <w:r>
        <w:t>14.1 Rutas REST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7. Contratos de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  <w:cantSplit/>
        </w:trPr>
        <w:tc>
          <w:tcPr>
            <w:tcW w:type="dxa" w:w="10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Método</w:t>
            </w:r>
          </w:p>
        </w:tc>
        <w:tc>
          <w:tcPr>
            <w:tcW w:type="dxa" w:w="238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Ruta</w:t>
            </w:r>
          </w:p>
        </w:tc>
        <w:tc>
          <w:tcPr>
            <w:tcW w:type="dxa" w:w="266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Entrada</w:t>
            </w:r>
          </w:p>
        </w:tc>
        <w:tc>
          <w:tcPr>
            <w:tcW w:type="dxa" w:w="272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Salida/uso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GET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/api/ai/status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—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Estado público de proveedores + webConfigEnabled.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POST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/api/ai/configure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provider, model, apiKey/baseUrl, fallback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Configura un proveedor si se permite.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POST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/api/ai/select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provider, fallback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Selecciona proveedor preferido.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POST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/api/agent/message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agent, message, provider, allowFallback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Respuesta IA, usage, attempts y fallbackUsed.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GET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/api/gemini/status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—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Compatibilidad v1.1.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POST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/api/gemini/configure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apiKey, model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Compatibilidad v1.1.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POST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/ejecutar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codigo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Salida stdout/stderr del compilador.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GET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/*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—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Archivo estático bajo web/.</w:t>
            </w:r>
          </w:p>
        </w:tc>
      </w:tr>
    </w:tbl>
    <w:p/>
    <w:p>
      <w:pPr>
        <w:pStyle w:val="Heading2"/>
      </w:pPr>
      <w:r>
        <w:t>14.2 Ejemplo de solicitud a /api/agent/message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POST /api/agent/message</w:t>
        <w:br/>
        <w:t>Content-Type: application/json</w:t>
        <w:br/>
        <w:br/>
        <w:t>{</w:t>
        <w:br/>
        <w:t xml:space="preserve">  "provider": "openai",</w:t>
        <w:br/>
        <w:t xml:space="preserve">  "allowFallback": true,</w:t>
        <w:br/>
        <w:t xml:space="preserve">  "message": "hola",</w:t>
        <w:br/>
        <w:t xml:space="preserve">  "agent": {</w:t>
        <w:br/>
        <w:t xml:space="preserve">    "name": "AsistenteMultiIA",</w:t>
        <w:br/>
        <w:t xml:space="preserve">    "objective": "Responder solicitudes generales",</w:t>
        <w:br/>
        <w:t xml:space="preserve">    "tools": ["ia"],</w:t>
        <w:br/>
        <w:t xml:space="preserve">    "permissions": ["leer", "usar"]</w:t>
        <w:br/>
        <w:t xml:space="preserve">  }</w:t>
        <w:br/>
        <w:t>}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HTTP 200</w:t>
        <w:br/>
        <w:t>{</w:t>
        <w:br/>
        <w:t xml:space="preserve">  "ok": true,</w:t>
        <w:br/>
        <w:t xml:space="preserve">  "provider": "openai",</w:t>
        <w:br/>
        <w:t xml:space="preserve">  "model": "&lt;modelo-configurado&gt;",</w:t>
        <w:br/>
        <w:t xml:space="preserve">  "reply": "...",</w:t>
        <w:br/>
        <w:t xml:space="preserve">  "usage": {...},</w:t>
        <w:br/>
        <w:t xml:space="preserve">  "fallbackUsed": false,</w:t>
        <w:br/>
        <w:t xml:space="preserve">  "preferredProvider": "openai",</w:t>
        <w:br/>
        <w:t xml:space="preserve">  "attempts": []</w:t>
        <w:br/>
        <w:t>}</w:t>
      </w:r>
    </w:p>
    <w:p>
      <w:pPr>
        <w:pStyle w:val="Heading1"/>
      </w:pPr>
      <w:r>
        <w:t>15. Capa IA multimodelo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817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81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3. Flujo interno de ai_manager.js.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8. Adaptadores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ID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Alias</w:t>
            </w:r>
          </w:p>
        </w:tc>
        <w:tc>
          <w:tcPr>
            <w:tcW w:type="dxa" w:w="5386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Cliente/endpoint implementado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gemini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google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gemini_client.js → :generateContent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gpt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openai_compatible_client.js → /v1/responses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anthropic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claude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anthropic_client.js → /v1/messages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deepseek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deepseek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 compatible → /chat/completions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groq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groq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 compatible → /chat/completions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ollama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local_llm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ollama_client.js → /api/chat</w:t>
            </w:r>
          </w:p>
        </w:tc>
      </w:tr>
    </w:tbl>
    <w:p/>
    <w:p>
      <w:pPr>
        <w:pStyle w:val="Heading2"/>
      </w:pPr>
      <w:r>
        <w:t>15.1 Resolución del proveedor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Verificar hasAITool(tools).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Si payload.provider es válido, usarlo como preferido.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Si no, buscar un proveedor explícito en herramientas del agente.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Si no existe, usar AI_PROVIDER.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Si falla y fallback está activo, recorrer los demás proveedores configurados.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Registrar cada intento fallido y devolver la primera respuesta válida.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Si todos fallan, producir ALL_PROVIDERS_FAILED.</w:t>
      </w:r>
    </w:p>
    <w:p>
      <w:pPr>
        <w:pStyle w:val="Heading2"/>
      </w:pPr>
      <w:r>
        <w:t>15.2 Normalización de errores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Los clientes convierten fallas HTTP o de red a AIError/GeminiError con status, code, provider, model y details. Esto permite que la interfaz trate de forma uniforme TIMEOUT, RATE_LIMIT, NOT_CONFIGURED y errores de proveedor.</w:t>
      </w:r>
    </w:p>
    <w:p>
      <w:pPr>
        <w:pStyle w:val="Heading1"/>
      </w:pPr>
      <w:r>
        <w:t>16. Configuración y secretos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# SAM-Lang Studio v2 - configuración local de IA multimodelo.</w:t>
        <w:br/>
        <w:t># Copia este archivo como config/.env o configura los proveedores desde la interfaz.</w:t>
        <w:br/>
        <w:t># NO compartas config/.env cuando contenga claves reales.</w:t>
        <w:br/>
        <w:br/>
        <w:t>AI_PROVIDER=gemini</w:t>
        <w:br/>
        <w:t>AI_FALLBACK=true</w:t>
        <w:br/>
        <w:br/>
        <w:t>GEMINI_API_KEY=</w:t>
        <w:br/>
        <w:t>GEMINI_MODEL=gemini-2.5-flash</w:t>
        <w:br/>
        <w:br/>
        <w:t>OPENAI_API_KEY=</w:t>
        <w:br/>
        <w:t>OPENAI_MODEL=gpt-5-mini</w:t>
        <w:br/>
        <w:br/>
        <w:t>ANTHROPIC_API_KEY=</w:t>
        <w:br/>
        <w:t>ANTHROPIC_MODEL=claude-sonnet-4-20250514</w:t>
        <w:br/>
        <w:br/>
        <w:t>DEEPSEEK_API_KEY=</w:t>
        <w:br/>
        <w:t>DEEPSEEK_MODEL=deepseek-v4-flash</w:t>
        <w:br/>
        <w:br/>
        <w:t>GROQ_API_KEY=</w:t>
        <w:br/>
        <w:t>GROQ_MODEL=llama-3.3-70b-versatile</w:t>
        <w:br/>
        <w:br/>
        <w:t>OLLAMA_ENABLED=false</w:t>
        <w:br/>
        <w:t>OLLAMA_URL=http://127.0.0.1:11434</w:t>
        <w:br/>
        <w:t>OLLAMA_MODEL=gemma3</w:t>
        <w:br/>
        <w:br/>
        <w:t>PORT=3000</w:t>
        <w:br/>
        <w:br/>
        <w:t># Despliegue: usar HOST=0.0.0.0. En local puede omitirse.</w:t>
        <w:br/>
        <w:t>HOST=127.0.0.1</w:t>
        <w:br/>
        <w:t>ALLOW_WEB_CONFIG=true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Producción. </w:t>
            </w:r>
            <w:r>
              <w:rPr>
                <w:rFonts w:ascii="Times New Roman" w:hAnsi="Times New Roman"/>
                <w:color w:val="000000"/>
                <w:sz w:val="20"/>
              </w:rPr>
              <w:t>HOST debe ser 0.0.0.0; PORT debe respetar la variable entregada por el hosting; ALLOW_WEB_CONFIG=false evita que un usuario público reescriba secretos.</w:t>
            </w:r>
          </w:p>
        </w:tc>
      </w:tr>
    </w:tbl>
    <w:p/>
    <w:p>
      <w:pPr>
        <w:pStyle w:val="Heading1"/>
      </w:pPr>
      <w:r>
        <w:t>17. Seguridad técnica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9. Controles de 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Control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Implementación actual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Recomendación adicional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Secretos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Variables de entorno / config/.env excluido.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Rotar claves y usar secret manager del hosting.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Validación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sanitizeKey/model/provider/url.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Agregar validación de esquema JSON si aumenta la API.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Path traversal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serveStatic comprueba ruta resuelta.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Mantener webRoot inmutable.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MIME sniffing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X-Content-Type-Options: nosniff.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Añadir CSP y headers adicionales en proxy/hosting.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Cache de API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Cache-Control: no-store.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Mantener para respuestas que contengan trazas.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Configuración pública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ALLOW_WEB_CONFIG=false disponible.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Mantener deshabilitado sin autenticación.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Autenticación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 implementada.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Añadir si se exponen funciones administrativas.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HTTPS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 del hosting.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Usar siempre HTTPS en URL pública.</w:t>
            </w:r>
          </w:p>
        </w:tc>
      </w:tr>
    </w:tbl>
    <w:p/>
    <w:p>
      <w:pPr>
        <w:pStyle w:val="Heading1"/>
      </w:pPr>
      <w:r>
        <w:t>18. Pruebas</w:t>
      </w:r>
    </w:p>
    <w:p>
      <w:pPr>
        <w:pStyle w:val="Heading2"/>
      </w:pPr>
      <w:r>
        <w:t>18.1 Suite Node.js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npm test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Resultado validado: 58 comprobaciones [OK]. Las APIs externas se simulan mediante fetchImpl, evitando consumo de claves y haciendo las pruebas reproducibles.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10. Suite de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Archivo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test_web.js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Compilación web de medico/comunicacion/asistente y rechazo semántico.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test_gemini.js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Prompt, extracción de respuesta y llamada Gemini simulada.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test_ai.js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Aliases, configuración, OpenAI, fallback Groq, Anthropic, DeepSeek y Ollama.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test_cpp.sh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Construcción CMake, ejemplos válidos y rechazo de error semántico.</w:t>
            </w:r>
          </w:p>
        </w:tc>
      </w:tr>
    </w:tbl>
    <w:p/>
    <w:p>
      <w:pPr>
        <w:pStyle w:val="Heading2"/>
      </w:pPr>
      <w:r>
        <w:t>18.2 Prueba C++ manual/reproducible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./build/sam_compilador ejemplos/multimodelo.sam --resumen --salida multimodelo.samvm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La ejecución validada produjo aceptación léxica/PDA/parser/semántica, 1 agente activo, 16 instrucciones TAC originales, 14 optimizadas y un archivo SAM-VM finalizado con HALT.</w:t>
      </w:r>
    </w:p>
    <w:p>
      <w:pPr>
        <w:pStyle w:val="Heading1"/>
      </w:pPr>
      <w:r>
        <w:t>19. Despliegue con Docker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756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5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4. Flujo de despliegue web.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docker build -t sam-lang-studio-v2 .</w:t>
        <w:br/>
        <w:t>docker run --rm -p 3000:3000 -e HOST=0.0.0.0 -e PORT=3000 sam-lang-studio-v2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El Dockerfile es multi-stage: la etapa build utiliza Node 22 bookworm e instala CMake/g++/make; la etapa runtime utiliza node:22-bookworm-slim y recibe el proyecto ya compilado. No se debe copiar un .env con secretos a la imagen.</w:t>
      </w:r>
    </w:p>
    <w:p>
      <w:pPr>
        <w:pStyle w:val="Heading1"/>
      </w:pPr>
      <w:r>
        <w:t>20. Despliegue en Render u otro servicio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Subir el código a un repositorio Git sin config/.env.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Crear un Web Service con runtime Docker.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Definir HOST=0.0.0.0 y ALLOW_WEB_CONFIG=false.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Configurar AI_PROVIDER, AI_FALLBACK, modelos y claves como variables/secretos.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Permitir que el hosting defina PORT o establecerlo según la plataforma.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Desplegar y abrir la URL HTTPS.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Ejecutar multimodelo.sam y error_semantico.sam como smoke test.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Registrar la URL final en manuales y memoria.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Render indica que los servicios web deben enlazarse a 0.0.0.0 y reciben una URL pública; el servidor del proyecto fue preparado para leer HOST/PORT por entorno. El mismo principio aplica a otros servicios de contenedores.</w:t>
      </w:r>
    </w:p>
    <w:p>
      <w:pPr>
        <w:pStyle w:val="Heading1"/>
      </w:pPr>
      <w:r>
        <w:t>21. Mantenimiento</w:t>
      </w:r>
    </w:p>
    <w:p>
      <w:pPr>
        <w:pStyle w:val="Heading2"/>
      </w:pPr>
      <w:r>
        <w:t>21.1 Agregar un proveedor de IA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Crear un cliente bajo backend/ai/.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Agregar metadatos en PROVIDERS.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Añadir alias en PROVIDER_ALIASES si corresponde.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Extender requestProvider.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Agregar variables de entorno y serialización.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Actualizar opciones del frontend.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Crear pruebas simuladas.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Actualizar manual técnico y .env.example.</w:t>
      </w:r>
    </w:p>
    <w:p>
      <w:pPr>
        <w:pStyle w:val="Heading2"/>
      </w:pPr>
      <w:r>
        <w:t>21.2 Modificar la gramática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Actualizar tokens.h y analisis.cpp.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Actualizar tablas/PDA.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Actualizar parser.h/parser.cpp y estructuras AST.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Actualizar semántica.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Actualizar runtime/TAC/optimizador/generador si la construcción tiene efecto de ejecución.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Actualizar web/sam-lang.js para mantener la visualización alineada.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Crear un ejemplo positivo y uno negativo.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Ejecutar npm test y test_cpp.sh.</w:t>
      </w:r>
    </w:p>
    <w:p>
      <w:pPr>
        <w:pStyle w:val="Heading1"/>
      </w:pPr>
      <w:r>
        <w:t>22. Diagnóstico técnico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11. Guía de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Síntoma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Diagnóstico</w:t>
            </w:r>
          </w:p>
        </w:tc>
        <w:tc>
          <w:tcPr>
            <w:tcW w:type="dxa" w:w="311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Comando/acción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EACCES al iniciar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Puerto o política del sistema.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Cambiar PORT o revisar proceso que escucha.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EADDRINUSE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Puerto ocupado.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netstat -ano | findstr :3000 (Windows).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sam_compilador no encontrado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Build ausente.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cmake -S . -B build &amp;&amp; cmake --build build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HTTP 403 WEB_CONFIG_DISABLED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Producción bloquea configuración.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Configurar secreto en hosting.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TIMEOUT IA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Red/proveedor lento.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Revisar conectividad, modelo y fallback.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429/RATE_LIMIT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Cuota externa.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Esperar o cambiar proveedor.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PDA y parser no coinciden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Regresión de gramática.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Comparar tablas de transición con parser.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Prueba web falla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Divergencia JavaScript/gramática.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Revisar web/sam-lang.js y ejemplo afectado.</w:t>
            </w:r>
          </w:p>
        </w:tc>
      </w:tr>
    </w:tbl>
    <w:p/>
    <w:p>
      <w:pPr>
        <w:pStyle w:val="Heading1"/>
      </w:pPr>
      <w:r>
        <w:t>23. Gestión de versiones y respaldo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Usar un repositorio Git y tags para versiones estables.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Mantener .gitignore para build, tmp, node_modules y config/.env.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No versionar salidas temporales ni secretos.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Ejecutar pruebas antes de merge/release.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Generar un ZIP de entrega a partir de una copia limpia.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Calcular SHA-256 del ZIP final si se requiere verificar integridad.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Conservar autómatas .jff y ejemplos como artefactos de referencia de la gramática.</w:t>
      </w:r>
    </w:p>
    <w:p>
      <w:pPr>
        <w:pStyle w:val="Heading1"/>
      </w:pPr>
      <w:r>
        <w:t>24. Inventario de módulos y líneas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12. Inventario de código considerado (35 archivos, 5615 líneas)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708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Archivo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Líneas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backend/ai/ai_manager.js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186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backend/ai/anthropic_client.js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backend/ai/common.js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64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backend/ai/ollama_client.js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47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backend/ai/openai_compatible_client.js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backend/gemini_client.js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182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backend/server.js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356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src/analisis.cpp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360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src/analisis.h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src/comunicacion.cpp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51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src/comunicacion.h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src/generador_codigo.cpp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src/generador_codigo.h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src/interprete.cpp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75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src/interprete.h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src/main.cpp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219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src/optimizador.cpp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71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src/optimizador.h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src/parser.cpp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582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src/parser.h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147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src/semantico.cpp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225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src/semantico.h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89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src/tablas_transicion.cpp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517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src/tablas_transicion.h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97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src/tac.cpp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107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src/tac.h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src/tokens.h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tests/test_ai.js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155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tests/test_cpp.sh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tests/test_gemini.js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tests/test_web.js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web/app.js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546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web/index.html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152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web/sam-lang.js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702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web/style.css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89</w:t>
            </w:r>
          </w:p>
        </w:tc>
      </w:tr>
    </w:tbl>
    <w:p/>
    <w:p>
      <w:pPr>
        <w:pStyle w:val="Heading1"/>
      </w:pPr>
      <w:r>
        <w:t>Anexo A. Checklist de liberación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npm test finaliza con código 0.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CMake configura y compila sin errores.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multimodelo.sam es aceptado.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error_semantico.sam es rechazado.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config/.env no está en el paquete.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URL pública abre por HTTPS.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HOST/PORT correctos.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ALLOW_WEB_CONFIG=false en producción.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Proveedor de demostración configurado como secreto.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Manual de usuario y memoria contienen la URL final.</w:t>
      </w:r>
    </w:p>
    <w:p>
      <w:pPr>
        <w:pStyle w:val="Heading1"/>
      </w:pPr>
      <w:r>
        <w:t>Referencias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Aho, A. V., Lam, M. S., Sethi, R., &amp; Ullman, J. D. (2007). Compilers: Principles, Techniques, and Tools (2nd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Hopcroft, J. E., Motwani, R., &amp; Ullman, J. D. (2007). Introduction to Automata Theory, Languages, and Computation (3rd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Node.js. (2026). HTTP API. Node.js Documentation. https://nodejs.org/api/http.html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Kitware. (2026). CMake command-line reference. https://cmake.org/cmake/help/latest/manual/cmake.1.html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Docker. (2026). Dockerfile reference. https://docs.docker.com/reference/dockerfile/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Google. (2026). Gemini API: API keys and generateContent. Google AI for Developers. https://ai.google.dev/gemini-api/docs/generate-content/api-key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OpenAI. (2026). OpenAI API documentation: Responses API and model guidance. https://developers.openai.com/api/docs/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Anthropic. (2026). Messages API. Claude Platform Docs. https://docs.anthropic.com/en/api/messages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DeepSeek. (2026). DeepSeek API documentation. https://api-docs.deepseek.com/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Groq. (2026). OpenAI compatibility. GroqDocs. https://console.groq.com/docs/openai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Ollama. (2026). API reference: chat. https://docs.ollama.com/api/chat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Render. (2026). Web Services and Docker on Render. https://render.com/docs/web-services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SAM-Lang Studio. (2026). Código fuente, autómatas, ejemplos y pruebas internas de la versión 2.0.0 [Proyecto académico].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6666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666666"/>
        <w:sz w:val="18"/>
      </w:rPr>
      <w:t>SAM-Lang Studio v2.0.0 —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before="80" w:after="80"/>
      <w:ind w:left="283" w:righ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