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Times New Roman" w:hAnsi="Times New Roman"/>
          <w:b/>
          <w:color w:val="000000"/>
          <w:sz w:val="26"/>
        </w:rPr>
        <w:t>UNIVERSIDAD / INSTITUCIÓN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>[Completar nombre de la institución]</w:t>
      </w:r>
    </w:p>
    <w:p>
      <w:pPr>
        <w:spacing w:before="760"/>
        <w:jc w:val="center"/>
      </w:pPr>
      <w:r>
        <w:rPr>
          <w:rFonts w:ascii="Times New Roman" w:hAnsi="Times New Roman"/>
          <w:b/>
          <w:color w:val="000000"/>
          <w:sz w:val="40"/>
        </w:rPr>
        <w:t>SAM-LANG STUDIO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Compilador e intérprete de agentes con IA multimodelo</w:t>
      </w:r>
    </w:p>
    <w:p>
      <w:pPr>
        <w:spacing w:before="560"/>
        <w:jc w:val="center"/>
      </w:pPr>
      <w:r>
        <w:rPr>
          <w:rFonts w:ascii="Times New Roman" w:hAnsi="Times New Roman"/>
          <w:b/>
          <w:color w:val="000000"/>
          <w:sz w:val="36"/>
        </w:rPr>
        <w:t>CÓDIGO FUENTE</w:t>
      </w:r>
    </w:p>
    <w:p>
      <w:pPr>
        <w:jc w:val="center"/>
      </w:pPr>
      <w:r>
        <w:rPr>
          <w:rFonts w:ascii="Times New Roman" w:hAnsi="Times New Roman"/>
          <w:i/>
          <w:color w:val="000000"/>
          <w:sz w:val="24"/>
        </w:rPr>
        <w:t>Inventario, estructura, trazabilidad, construcción y entrega del repositorio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Curso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Compiladores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Docente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Integrantes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 nombres y códigos]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Versión del sistema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2.0.0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[Completar cuando el proyecto sea desplegado]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2F2F2"/>
          </w:tcPr>
          <w:p>
            <w:r/>
            <w:r>
              <w:rPr>
                <w:rFonts w:ascii="Times New Roman" w:hAnsi="Times New Roman"/>
                <w:b/>
                <w:color w:val="000000"/>
                <w:sz w:val="21"/>
              </w:rPr>
              <w:t>Lugar y 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 w:val="0"/>
                <w:color w:val="000000"/>
                <w:sz w:val="21"/>
              </w:rPr>
              <w:t>[Ciudad], agosto de 2026</w:t>
            </w:r>
          </w:p>
        </w:tc>
      </w:tr>
    </w:tbl>
    <w:p>
      <w:pPr>
        <w:spacing w:before="560"/>
        <w:jc w:val="center"/>
      </w:pPr>
      <w:r>
        <w:rPr>
          <w:rFonts w:ascii="Times New Roman" w:hAnsi="Times New Roman"/>
          <w:i/>
          <w:color w:val="666666"/>
          <w:sz w:val="18"/>
        </w:rPr>
        <w:t>Documento técnico-académico elaborado a partir del código fuente, autómatas, pruebas y configuración de despliegue de SAM-Lang Studio v2.0.0.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595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Nombre del proyecto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SAM-Lang Studio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documentada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Tipo de documento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Documento de código fuente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Estado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 final para revisión/entrega académica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Fecha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de 2026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Responsable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[Completar]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[Completar después del despliegue]</w:t>
            </w:r>
          </w:p>
        </w:tc>
      </w:tr>
    </w:tbl>
    <w:p/>
    <w:p>
      <w:pPr>
        <w:pStyle w:val="Heading2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  <w:cantSplit/>
        </w:trPr>
        <w:tc>
          <w:tcPr>
            <w:tcW w:type="dxa" w:w="124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Versión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5839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1.0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Documentación inicial del compilador web.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Agosto 2026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Actualización integral: compilador C++17, runtime, TAC/SAM-VM, backend Node.js, IA multimodelo, seguridad y despliegue web.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 general</w:t>
      </w:r>
    </w:p>
    <w:p>
      <w:pPr>
        <w:spacing w:line="240" w:lineRule="auto" w:after="0"/>
        <w:jc w:val="left"/>
      </w:pPr>
      <w:r>
        <w:rPr>
          <w:rFonts w:ascii="Times New Roman" w:hAnsi="Times New Roman"/>
          <w:sz w:val="19"/>
        </w:rPr>
        <w:t>1. Identificación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2. Estructura del paquete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  4</w:t>
        <w:br/>
      </w:r>
      <w:r>
        <w:rPr>
          <w:rFonts w:ascii="Times New Roman" w:hAnsi="Times New Roman"/>
          <w:sz w:val="19"/>
        </w:rPr>
        <w:t>3. Inventario de archivos fuente</w:t>
      </w:r>
      <w:r>
        <w:rPr>
          <w:rFonts w:ascii="Times New Roman" w:hAnsi="Times New Roman"/>
          <w:sz w:val="19"/>
        </w:rPr>
        <w:t xml:space="preserve">  ·································  4</w:t>
        <w:br/>
      </w:r>
      <w:r>
        <w:rPr>
          <w:rFonts w:ascii="Times New Roman" w:hAnsi="Times New Roman"/>
          <w:sz w:val="19"/>
        </w:rPr>
        <w:t>4. Módulos críticos y responsabilidad</w:t>
      </w:r>
      <w:r>
        <w:rPr>
          <w:rFonts w:ascii="Times New Roman" w:hAnsi="Times New Roman"/>
          <w:sz w:val="19"/>
        </w:rPr>
        <w:t xml:space="preserve">  ····························  5</w:t>
        <w:br/>
      </w:r>
      <w:r>
        <w:rPr>
          <w:rFonts w:ascii="Times New Roman" w:hAnsi="Times New Roman"/>
          <w:sz w:val="19"/>
        </w:rPr>
        <w:t>5. Construcción, ejecución y pruebas</w:t>
      </w:r>
      <w:r>
        <w:rPr>
          <w:rFonts w:ascii="Times New Roman" w:hAnsi="Times New Roman"/>
          <w:sz w:val="19"/>
        </w:rPr>
        <w:t xml:space="preserve">  ·····························  6</w:t>
        <w:br/>
      </w:r>
      <w:r>
        <w:rPr>
          <w:rFonts w:ascii="Times New Roman" w:hAnsi="Times New Roman"/>
          <w:sz w:val="19"/>
        </w:rPr>
        <w:t>6. Archivos que NO deben incluir secretos</w:t>
      </w:r>
      <w:r>
        <w:rPr>
          <w:rFonts w:ascii="Times New Roman" w:hAnsi="Times New Roman"/>
          <w:sz w:val="19"/>
        </w:rPr>
        <w:t xml:space="preserve">  ························  6</w:t>
        <w:br/>
      </w:r>
      <w:r>
        <w:rPr>
          <w:rFonts w:ascii="Times New Roman" w:hAnsi="Times New Roman"/>
          <w:sz w:val="19"/>
        </w:rPr>
        <w:t>7. Trazabilidad entre requisito y código</w:t>
      </w:r>
      <w:r>
        <w:rPr>
          <w:rFonts w:ascii="Times New Roman" w:hAnsi="Times New Roman"/>
          <w:sz w:val="19"/>
        </w:rPr>
        <w:t xml:space="preserve">  ·························  6</w:t>
        <w:br/>
      </w:r>
      <w:r>
        <w:rPr>
          <w:rFonts w:ascii="Times New Roman" w:hAnsi="Times New Roman"/>
          <w:sz w:val="19"/>
        </w:rPr>
        <w:t>8. Publicación en repositorio</w:t>
      </w:r>
      <w:r>
        <w:rPr>
          <w:rFonts w:ascii="Times New Roman" w:hAnsi="Times New Roman"/>
          <w:sz w:val="19"/>
        </w:rPr>
        <w:t xml:space="preserve">  ····································  7</w:t>
        <w:br/>
      </w:r>
      <w:r>
        <w:rPr>
          <w:rFonts w:ascii="Times New Roman" w:hAnsi="Times New Roman"/>
          <w:sz w:val="19"/>
        </w:rPr>
        <w:t>9. Integridad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  7</w:t>
        <w:br/>
      </w:r>
      <w:r>
        <w:rPr>
          <w:rFonts w:ascii="Times New Roman" w:hAnsi="Times New Roman"/>
          <w:sz w:val="19"/>
        </w:rPr>
        <w:t>Anexo A. Licenciamiento y autoría</w:t>
      </w:r>
      <w:r>
        <w:rPr>
          <w:rFonts w:ascii="Times New Roman" w:hAnsi="Times New Roman"/>
          <w:sz w:val="19"/>
        </w:rPr>
        <w:t xml:space="preserve">  ································  7</w:t>
        <w:br/>
      </w:r>
      <w:r>
        <w:rPr>
          <w:rFonts w:ascii="Times New Roman" w:hAnsi="Times New Roman"/>
          <w:sz w:val="19"/>
        </w:rPr>
        <w:t>Referencias</w:t>
      </w:r>
      <w:r>
        <w:rPr>
          <w:rFonts w:ascii="Times New Roman" w:hAnsi="Times New Roman"/>
          <w:sz w:val="19"/>
        </w:rPr>
        <w:t xml:space="preserve">  ······················································  8</w:t>
      </w:r>
    </w:p>
    <w:p>
      <w:r>
        <w:br w:type="page"/>
      </w:r>
    </w:p>
    <w:p>
      <w:pPr>
        <w:pStyle w:val="Heading1"/>
      </w:pPr>
      <w:r>
        <w:t>1. Identificación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Este documento acompaña al archivo ZIP del código fuente y permite al evaluador identificar qué contiene la entrega, cómo se construye, qué archivos son críticos, cómo se prueban y qué elementos deben excluirse por seguridad. No sustituye el ZIP: el código ejecutable y editable se entrega en el paquete de fuente.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1. Identificación del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Dato</w:t>
            </w:r>
          </w:p>
        </w:tc>
        <w:tc>
          <w:tcPr>
            <w:tcW w:type="dxa" w:w="595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Proyecto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SAM-Lang Studio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Versión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Lenguajes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C++17, JavaScript, HTML5, CSS3, shell/batch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Build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CMake + Node.js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Archivos fuente inventariados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35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Líneas inventariadas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5615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Suite Node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58 comprobaciones [OK]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URL pública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[Completar después del despliegue]</w:t>
            </w:r>
          </w:p>
        </w:tc>
      </w:tr>
    </w:tbl>
    <w:p/>
    <w:p>
      <w:pPr>
        <w:pStyle w:val="Heading1"/>
      </w:pPr>
      <w:r>
        <w:t>2. Estructura del paquete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src/            Núcleo C++17 del compilador</w:t>
        <w:br/>
        <w:t>backend/        Servidor HTTP y clientes de IA</w:t>
        <w:br/>
        <w:t>web/            Interfaz y motor educativo JavaScript</w:t>
        <w:br/>
        <w:t>ejemplos/       Programas SAM-Lang de prueba</w:t>
        <w:br/>
        <w:t>automatas/      AFD/PDA de referencia (.jff)</w:t>
        <w:br/>
        <w:t>tests/          Pruebas automatizadas</w:t>
        <w:br/>
        <w:t>config/         Plantilla de variables sin secretos</w:t>
        <w:br/>
        <w:t>Dockerfile      Construcción para despliegue</w:t>
        <w:br/>
        <w:t>render.yaml     Plantilla de servicio web</w:t>
        <w:br/>
        <w:t>CMakeLists.txt  Build C++</w:t>
        <w:br/>
        <w:t>package.json    Scripts Node.js</w:t>
      </w:r>
    </w:p>
    <w:p>
      <w:pPr>
        <w:pStyle w:val="Heading1"/>
      </w:pPr>
      <w:r>
        <w:t>3. Inventario de archivos fuente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2. Inventario completo de archivos de implementación y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7087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Ruta</w:t>
            </w:r>
          </w:p>
        </w:tc>
        <w:tc>
          <w:tcPr>
            <w:tcW w:type="dxa" w:w="1701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Líneas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backend/ai/ai_manager.js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186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backend/ai/anthropic_client.js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40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backend/ai/common.js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64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backend/ai/ollama_client.js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47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backend/ai/openai_compatible_client.js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backend/gemini_client.js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182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backend/server.js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356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src/analisis.cpp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360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src/analisis.h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src/comunicacion.cpp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51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src/comunicacion.h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src/generador_codigo.cpp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src/generador_codigo.h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src/interprete.cpp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75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src/interprete.h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src/main.cpp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219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src/optimizador.cpp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71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src/optimizador.h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src/parser.cpp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582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src/parser.h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147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src/semantico.cpp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225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src/semantico.h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89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src/tablas_transicion.cpp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517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src/tablas_transicion.h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97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src/tac.cpp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107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src/tac.h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39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src/tokens.h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tests/test_ai.js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155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tests/test_cpp.sh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tests/test_gemini.js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65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tests/test_web.js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web/app.js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546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web/index.html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152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web/sam-lang.js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702</w:t>
            </w:r>
          </w:p>
        </w:tc>
      </w:tr>
      <w:tr>
        <w:trPr>
          <w:cantSplit/>
        </w:trPr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web/style.css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6"/>
              </w:rPr>
              <w:t>89</w:t>
            </w:r>
          </w:p>
        </w:tc>
      </w:tr>
    </w:tbl>
    <w:p/>
    <w:p>
      <w:pPr>
        <w:pStyle w:val="Heading1"/>
      </w:pPr>
      <w:r>
        <w:t>4. Módulos críticos y responsabilidad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3. Responsabilidad por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2835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Archivo/módulo</w:t>
            </w:r>
          </w:p>
        </w:tc>
        <w:tc>
          <w:tcPr>
            <w:tcW w:type="dxa" w:w="5953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src/analisis.*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Lexer, tabla de símbolos y tokens de entrada.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src/tablas_transicion.*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PDA tabular.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src/parser.*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Parser descendente y AST.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src/semantico.*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Validaciones semánticas.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src/interprete.*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Runtime de agentes.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src/comunicacion.*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Mensajes/delegación entre agentes.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src/tac.*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Generación de código intermedio.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src/optimizador.*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Optimización TAC.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src/generador_codigo.*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Traducción a SAM-VM.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backend/server.js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Servidor, API, archivos estáticos y ejecución C++.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backend/ai/*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Abstracción de proveedores IA.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web/app.js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Control de interfaz y solicitudes.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web/sam-lang.js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Pipeline educativo JavaScript.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tests/*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Validación automatizada.</w:t>
            </w:r>
          </w:p>
        </w:tc>
      </w:tr>
    </w:tbl>
    <w:p/>
    <w:p>
      <w:pPr>
        <w:pStyle w:val="Heading1"/>
      </w:pPr>
      <w:r>
        <w:t>5. Construcción, ejecución y pruebas</w:t>
      </w:r>
    </w:p>
    <w:p>
      <w:pPr>
        <w:pStyle w:val="CodeBlock"/>
        <w:shd w:fill="F5F5F5"/>
      </w:pPr>
      <w:r>
        <w:rPr>
          <w:rFonts w:ascii="Consolas" w:hAnsi="Consolas"/>
          <w:color w:val="000000"/>
          <w:sz w:val="18"/>
        </w:rPr>
        <w:t># Instalar/ejecutar backend</w:t>
        <w:br/>
        <w:t>npm start</w:t>
        <w:br/>
        <w:br/>
        <w:t># Suite JavaScript</w:t>
        <w:br/>
        <w:t>npm test</w:t>
        <w:br/>
        <w:br/>
        <w:t># Compilador C++</w:t>
        <w:br/>
        <w:t>cmake -S . -B build -DCMAKE_BUILD_TYPE=Release</w:t>
        <w:br/>
        <w:t>cmake --build build --config Release</w:t>
        <w:br/>
        <w:br/>
        <w:t># Ejemplo nativo</w:t>
        <w:br/>
        <w:t>./build/sam_compilador ejemplos/multimodelo.sam --resumen --salida multimodelo.samvm</w:t>
      </w:r>
    </w:p>
    <w:p>
      <w:pPr>
        <w:pStyle w:val="Heading1"/>
      </w:pPr>
      <w:r>
        <w:t>6. Archivos que NO deben incluir secretos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config/.env contiene credenciales cuando el sistema se configura localmente. Por esta razón, el paquete final solo debe incluir config/.env.example. Los repositorios públicos y documentos no deben contener valores de GEMINI_API_KEY, OPENAI_API_KEY, ANTHROPIC_API_KEY, DEEPSEEK_API_KEY ni GROQ_API_KEY.</w:t>
      </w:r>
    </w:p>
    <w:p>
      <w:pPr>
        <w:pStyle w:val="Heading1"/>
      </w:pPr>
      <w:r>
        <w:t>7. Trazabilidad entre requisito y código</w:t>
      </w:r>
    </w:p>
    <w:p>
      <w:pPr>
        <w:jc w:val="left"/>
      </w:pPr>
      <w:r>
        <w:rPr>
          <w:rFonts w:ascii="Times New Roman" w:hAnsi="Times New Roman"/>
          <w:b/>
          <w:color w:val="000000"/>
          <w:sz w:val="20"/>
        </w:rPr>
        <w:t>Tabla 4. Trazabilidad funcional del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  <w:cantSplit/>
        </w:trPr>
        <w:tc>
          <w:tcPr>
            <w:tcW w:type="dxa" w:w="3402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Capacidad</w:t>
            </w:r>
          </w:p>
        </w:tc>
        <w:tc>
          <w:tcPr>
            <w:tcW w:type="dxa" w:w="5386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Archivos principales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Lexer/tokens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src/tokens.h, src/analisis.*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PDA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src/tablas_transicion.*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Parser/AST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src/parser.*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Semántica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src/semantico.*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Runtime/comunicación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src/interprete.*, src/comunicacion.*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TAC/optimización/VM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src/tac.*, src/optimizador.*, src/generador_codigo.*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API web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backend/server.js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IA multimodelo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backend/ai/*, backend/gemini_client.js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Interfaz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web/index.html, web/style.css, web/app.js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Motor educativo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web/sam-lang.js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Pruebas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tests/*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Despliegue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AFA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color w:val="000000"/>
                <w:sz w:val="19"/>
              </w:rPr>
              <w:t>Dockerfile, render.yaml</w:t>
            </w:r>
          </w:p>
        </w:tc>
      </w:tr>
    </w:tbl>
    <w:p/>
    <w:p>
      <w:pPr>
        <w:pStyle w:val="Heading1"/>
      </w:pPr>
      <w:r>
        <w:t>8. Publicación en repositorio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1. Crear un repositorio Git para la versión final.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2. Copiar el contenido del paquete de código fuente, no el archivo ZIP dentro de sí mismo.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3. Verificar .gitignore y ausencia de config/.env.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4. Ejecutar npm test y build C++ antes del commit de release.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5. Crear un tag, por ejemplo v2.0.0.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6. Conectar el repositorio al servicio de hosting.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7. Configurar secretos en el panel del hosting y desplegar.</w:t>
      </w:r>
    </w:p>
    <w:p>
      <w:pPr>
        <w:spacing w:line="360" w:lineRule="auto" w:after="0"/>
        <w:ind w:left="340" w:hanging="340"/>
      </w:pPr>
      <w:r/>
      <w:r>
        <w:rPr>
          <w:rFonts w:ascii="Times New Roman" w:hAnsi="Times New Roman"/>
          <w:b w:val="0"/>
          <w:sz w:val="24"/>
        </w:rPr>
        <w:t>8. Registrar la URL pública generada.</w:t>
      </w:r>
    </w:p>
    <w:p>
      <w:pPr>
        <w:pStyle w:val="Heading1"/>
      </w:pPr>
      <w:r>
        <w:t>9. Integridad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El paquete final generado junto con esta documentación incluye un archivo de sumas SHA-256. El hash permite detectar modificaciones accidentales del archivo ZIP después de la entrega. Si se vuelve a editar cualquier archivo, el ZIP debe regenerarse y el hash debe calcularse nuevamente.</w:t>
      </w:r>
    </w:p>
    <w:p>
      <w:pPr>
        <w:pStyle w:val="Heading1"/>
      </w:pPr>
      <w:r>
        <w:t>Anexo A. Licenciamiento y autoría</w:t>
      </w:r>
    </w:p>
    <w:p>
      <w:pPr>
        <w:spacing w:line="360" w:lineRule="auto"/>
        <w:jc w:val="both"/>
      </w:pPr>
      <w:r>
        <w:rPr>
          <w:rFonts w:ascii="Times New Roman" w:hAnsi="Times New Roman"/>
          <w:i w:val="0"/>
          <w:color w:val="000000"/>
          <w:sz w:val="24"/>
        </w:rPr>
        <w:t>El repositorio analizado no declara una licencia de software específica. Para una entrega académica esto puede mantenerse como proyecto de curso; si el código se publica de forma abierta, el equipo debe acordar una licencia y añadir un archivo LICENSE antes de autorizar reutilización externa. La autoría y nombres de los integrantes deben completarse en la carátula y en el repositorio.</w:t>
      </w:r>
    </w:p>
    <w:p>
      <w:pPr>
        <w:pStyle w:val="Heading1"/>
      </w:pPr>
      <w:r>
        <w:t>Referencias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Aho, A. V., Lam, M. S., Sethi, R., &amp; Ullman, J. D. (2007). Compilers: Principles, Techniques, and Tools (2nd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Hopcroft, J. E., Motwani, R., &amp; Ullman, J. D. (2007). Introduction to Automata Theory, Languages, and Computation (3rd ed.). Pearson.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Node.js. (2026). HTTP API. Node.js Documentation. https://nodejs.org/api/http.html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Kitware. (2026). CMake command-line reference. https://cmake.org/cmake/help/latest/manual/cmake.1.html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Docker. (2026). Dockerfile reference. https://docs.docker.com/reference/dockerfile/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Google. (2026). Gemini API: API keys and generateContent. Google AI for Developers. https://ai.google.dev/gemini-api/docs/generate-content/api-key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OpenAI. (2026). OpenAI API documentation: Responses API and model guidance. https://developers.openai.com/api/docs/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Anthropic. (2026). Messages API. Claude Platform Docs. https://docs.anthropic.com/en/api/messages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DeepSeek. (2026). DeepSeek API documentation. https://api-docs.deepseek.com/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Groq. (2026). OpenAI compatibility. GroqDocs. https://console.groq.com/docs/openai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Ollama. (2026). API reference: chat. https://docs.ollama.com/api/chat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Render. (2026). Web Services and Docker on Render. https://render.com/docs/web-services</w:t>
      </w:r>
    </w:p>
    <w:p>
      <w:pPr>
        <w:spacing w:line="360" w:lineRule="auto"/>
        <w:ind w:left="720" w:hanging="720"/>
        <w:jc w:val="left"/>
      </w:pPr>
      <w:r>
        <w:rPr>
          <w:rFonts w:ascii="Times New Roman" w:hAnsi="Times New Roman"/>
          <w:color w:val="000000"/>
          <w:sz w:val="22"/>
        </w:rPr>
        <w:t>SAM-Lang Studio. (2026). Código fuente, autómatas, ejemplos y pruebas internas de la versión 2.0.0 [Proyecto académico].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66666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color w:val="666666"/>
        <w:sz w:val="18"/>
      </w:rPr>
      <w:t>SAM-Lang Studio v2.0.0 — Código fuente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before="80" w:after="80"/>
      <w:ind w:left="283" w:right="17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