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Times New Roman" w:hAnsi="Times New Roman"/>
          <w:b/>
          <w:color w:val="000000"/>
          <w:sz w:val="26"/>
        </w:rPr>
        <w:t>UNIVERSIDAD / INSTITUCIÓN</w:t>
      </w:r>
    </w:p>
    <w:p>
      <w:pPr>
        <w:jc w:val="center"/>
      </w:pPr>
      <w:r>
        <w:t>Universidad Nacional del Altiplano de Puno</w:t>
      </w:r>
    </w:p>
    <w:p>
      <w:pPr>
        <w:spacing w:before="760"/>
        <w:jc w:val="center"/>
      </w:pPr>
      <w:r>
        <w:rPr>
          <w:rFonts w:ascii="Times New Roman" w:hAnsi="Times New Roman"/>
          <w:b/>
          <w:color w:val="000000"/>
          <w:sz w:val="40"/>
        </w:rPr>
        <w:t>SAM-LANG STUDIO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Compilador e intérprete de agentes con IA multimodelo</w:t>
      </w:r>
    </w:p>
    <w:p>
      <w:pPr>
        <w:spacing w:before="560"/>
        <w:jc w:val="center"/>
      </w:pPr>
      <w:r>
        <w:rPr>
          <w:rFonts w:ascii="Times New Roman" w:hAnsi="Times New Roman"/>
          <w:b/>
          <w:color w:val="000000"/>
          <w:sz w:val="36"/>
        </w:rPr>
        <w:t>MANUAL DE USUARIO</w:t>
      </w:r>
    </w:p>
    <w:p>
      <w:pPr>
        <w:jc w:val="center"/>
      </w:pPr>
      <w:r>
        <w:rPr>
          <w:rFonts w:ascii="Times New Roman" w:hAnsi="Times New Roman"/>
          <w:i/>
          <w:color w:val="000000"/>
          <w:sz w:val="24"/>
        </w:rPr>
        <w:t>Guía completa de operación, interpretación de resultados y solución de problemas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Curso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Compiladores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Docente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Ing. Víctor Bejar Gonzales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Integrantes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Blanca Rosario Llanos Ticona (código 240201); Gisela Rosaura Ramos Barrios (código 240173); Maricarmen Monroy Quispe (código 240304)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Versión del sistema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2.0.0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https://proyecto-compiladores-uf5n.onrender.com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Lugar y 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Puno, agosto de 2026</w:t>
            </w:r>
          </w:p>
        </w:tc>
      </w:tr>
    </w:tbl>
    <w:p>
      <w:pPr>
        <w:spacing w:before="560"/>
        <w:jc w:val="center"/>
      </w:pPr>
      <w:r>
        <w:rPr>
          <w:rFonts w:ascii="Times New Roman" w:hAnsi="Times New Roman"/>
          <w:i/>
          <w:color w:val="666666"/>
          <w:sz w:val="18"/>
        </w:rPr>
        <w:t>Documento técnico-académico elaborado a partir del código fuente, autómatas, pruebas y configuración de despliegue de SAM-Lang Studio v2.0.0.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8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5953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Nombre del proyecto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SAM-Lang Studio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documentada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Tipo de documento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Manual de usuario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Estado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final para revisión/entrega académica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de 2026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Responsable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>
              <w:t>Maricarmen Monroy Quispe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>
              <w:t>https://proyecto-compiladores-uf5n.onrender.com</w:t>
            </w:r>
          </w:p>
        </w:tc>
      </w:tr>
    </w:tbl>
    <w:p/>
    <w:p>
      <w:pPr>
        <w:pStyle w:val="Heading2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24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Versión</w:t>
            </w:r>
          </w:p>
        </w:tc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5839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1.0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Documentación inicial del compilador web.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Actualización integral: compilador C++17, runtime, TAC/SAM-VM, backend Node.js, IA multimodelo, seguridad y despliegue web.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 general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19"/>
        </w:rPr>
        <w:t>1. Presentación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  4</w:t>
        <w:br/>
      </w:r>
      <w:r>
        <w:rPr>
          <w:rFonts w:ascii="Times New Roman" w:hAnsi="Times New Roman"/>
          <w:sz w:val="19"/>
        </w:rPr>
        <w:t>2. Alcance funcional para el usuario</w:t>
      </w:r>
      <w:r>
        <w:rPr>
          <w:rFonts w:ascii="Times New Roman" w:hAnsi="Times New Roman"/>
          <w:sz w:val="19"/>
        </w:rPr>
        <w:t xml:space="preserve">  ·····························  4</w:t>
        <w:br/>
      </w:r>
      <w:r>
        <w:rPr>
          <w:rFonts w:ascii="Times New Roman" w:hAnsi="Times New Roman"/>
          <w:sz w:val="19"/>
        </w:rPr>
        <w:t>3. Requisitos de uso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  4</w:t>
        <w:br/>
      </w:r>
      <w:r>
        <w:rPr>
          <w:rFonts w:ascii="Times New Roman" w:hAnsi="Times New Roman"/>
          <w:sz w:val="19"/>
        </w:rPr>
        <w:t>4. Acceso al sistema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  5</w:t>
        <w:br/>
      </w:r>
      <w:r>
        <w:rPr>
          <w:rFonts w:ascii="Times New Roman" w:hAnsi="Times New Roman"/>
          <w:sz w:val="19"/>
        </w:rPr>
        <w:t>5. Reconocimiento de la interfaz</w:t>
      </w:r>
      <w:r>
        <w:rPr>
          <w:rFonts w:ascii="Times New Roman" w:hAnsi="Times New Roman"/>
          <w:sz w:val="19"/>
        </w:rPr>
        <w:t xml:space="preserve">  ·································  5</w:t>
        <w:br/>
      </w:r>
      <w:r>
        <w:rPr>
          <w:rFonts w:ascii="Times New Roman" w:hAnsi="Times New Roman"/>
          <w:sz w:val="19"/>
        </w:rPr>
        <w:t>6. Flujo de trabajo recomendado</w:t>
      </w:r>
      <w:r>
        <w:rPr>
          <w:rFonts w:ascii="Times New Roman" w:hAnsi="Times New Roman"/>
          <w:sz w:val="19"/>
        </w:rPr>
        <w:t xml:space="preserve">  ··································  7</w:t>
        <w:br/>
      </w:r>
      <w:r>
        <w:rPr>
          <w:rFonts w:ascii="Times New Roman" w:hAnsi="Times New Roman"/>
          <w:sz w:val="19"/>
        </w:rPr>
        <w:t>7. Sintaxis práctica de SAM-Lang</w:t>
      </w:r>
      <w:r>
        <w:rPr>
          <w:rFonts w:ascii="Times New Roman" w:hAnsi="Times New Roman"/>
          <w:sz w:val="19"/>
        </w:rPr>
        <w:t xml:space="preserve">  ·································  8</w:t>
        <w:br/>
      </w:r>
      <w:r>
        <w:rPr>
          <w:rFonts w:ascii="Times New Roman" w:hAnsi="Times New Roman"/>
          <w:sz w:val="19"/>
        </w:rPr>
        <w:t>8. Ejemplos incluidos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  9</w:t>
        <w:br/>
      </w:r>
      <w:r>
        <w:rPr>
          <w:rFonts w:ascii="Times New Roman" w:hAnsi="Times New Roman"/>
          <w:sz w:val="19"/>
        </w:rPr>
        <w:t>9. Configuración de IA multimodelo</w:t>
      </w:r>
      <w:r>
        <w:rPr>
          <w:rFonts w:ascii="Times New Roman" w:hAnsi="Times New Roman"/>
          <w:sz w:val="19"/>
        </w:rPr>
        <w:t xml:space="preserve">  ·······························  10</w:t>
        <w:br/>
      </w:r>
      <w:r>
        <w:rPr>
          <w:rFonts w:ascii="Times New Roman" w:hAnsi="Times New Roman"/>
          <w:sz w:val="19"/>
        </w:rPr>
        <w:t>10. Probar un agente creado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  11</w:t>
        <w:br/>
      </w:r>
      <w:r>
        <w:rPr>
          <w:rFonts w:ascii="Times New Roman" w:hAnsi="Times New Roman"/>
          <w:sz w:val="19"/>
        </w:rPr>
        <w:t>11. Interpretación de las pestañas técnicas</w:t>
      </w:r>
      <w:r>
        <w:rPr>
          <w:rFonts w:ascii="Times New Roman" w:hAnsi="Times New Roman"/>
          <w:sz w:val="19"/>
        </w:rPr>
        <w:t xml:space="preserve">  ······················  11</w:t>
        <w:br/>
      </w:r>
      <w:r>
        <w:rPr>
          <w:rFonts w:ascii="Times New Roman" w:hAnsi="Times New Roman"/>
          <w:sz w:val="19"/>
        </w:rPr>
        <w:t>12. Mensajes de error y solución de problemas</w:t>
      </w:r>
      <w:r>
        <w:rPr>
          <w:rFonts w:ascii="Times New Roman" w:hAnsi="Times New Roman"/>
          <w:sz w:val="19"/>
        </w:rPr>
        <w:t xml:space="preserve">  ····················  12</w:t>
        <w:br/>
      </w:r>
      <w:r>
        <w:rPr>
          <w:rFonts w:ascii="Times New Roman" w:hAnsi="Times New Roman"/>
          <w:sz w:val="19"/>
        </w:rPr>
        <w:t>13. Seguridad para el usuario</w:t>
      </w:r>
      <w:r>
        <w:rPr>
          <w:rFonts w:ascii="Times New Roman" w:hAnsi="Times New Roman"/>
          <w:sz w:val="19"/>
        </w:rPr>
        <w:t xml:space="preserve">  ····································  12</w:t>
        <w:br/>
      </w:r>
      <w:r>
        <w:rPr>
          <w:rFonts w:ascii="Times New Roman" w:hAnsi="Times New Roman"/>
          <w:sz w:val="19"/>
        </w:rPr>
        <w:t>14. Procedimiento de demostración para el docente</w:t>
      </w:r>
      <w:r>
        <w:rPr>
          <w:rFonts w:ascii="Times New Roman" w:hAnsi="Times New Roman"/>
          <w:sz w:val="19"/>
        </w:rPr>
        <w:t xml:space="preserve">  ················  13</w:t>
        <w:br/>
      </w:r>
      <w:r>
        <w:rPr>
          <w:rFonts w:ascii="Times New Roman" w:hAnsi="Times New Roman"/>
          <w:sz w:val="19"/>
        </w:rPr>
        <w:t>15. Preguntas frecuentes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  13</w:t>
        <w:br/>
      </w:r>
      <w:r>
        <w:rPr>
          <w:rFonts w:ascii="Times New Roman" w:hAnsi="Times New Roman"/>
          <w:sz w:val="19"/>
        </w:rPr>
        <w:t>16. Glosario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·····················································  13</w:t>
        <w:br/>
      </w:r>
      <w:r>
        <w:rPr>
          <w:rFonts w:ascii="Times New Roman" w:hAnsi="Times New Roman"/>
          <w:sz w:val="19"/>
        </w:rPr>
        <w:t>Anexo A. Práctica guiada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  14</w:t>
        <w:br/>
      </w:r>
      <w:r>
        <w:rPr>
          <w:rFonts w:ascii="Times New Roman" w:hAnsi="Times New Roman"/>
          <w:sz w:val="19"/>
        </w:rPr>
        <w:t>Referencias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······················································  14</w:t>
      </w:r>
    </w:p>
    <w:p>
      <w:r>
        <w:br w:type="page"/>
      </w:r>
    </w:p>
    <w:p>
      <w:pPr>
        <w:pStyle w:val="Heading1"/>
      </w:pPr>
      <w:r>
        <w:t>1. Presentación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SAM-Lang Studio v2.0.0 es un entorno web académico que permite escribir, analizar, compilar y ejecutar programas del lenguaje SAM-Lang. La aplicación fue diseñada para que las etapas de un compilador sean observables durante una práctica o exposición: análisis léxico, verificación sintáctica mediante PDA tabular, parser descendente y AST, análisis semántico, runtime de agentes, generación de código intermedio TAC, optimización y generación de código final SAM-VM. La versión 2 incorpora además una capa de inteligencia artificial multimodelo con soporte para Google Gemini, OpenAI, Anthropic Claude, DeepSeek, Groq y Ollama local.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Este manual está dirigido al usuario final —estudiante, docente o evaluador— y explica el uso del sistema sin exigir conocimientos de implementación. Cuando se requieran detalles de desarrollo, arquitectura o mantenimiento, debe consultarse el Manual Técnico.</w:t>
      </w:r>
    </w:p>
    <w:p>
      <w:pPr>
        <w:pStyle w:val="Heading1"/>
      </w:pPr>
      <w:r>
        <w:t>2. Alcance funcional para el usuario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Crear o modificar código SAM-Lang desde el editor web.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Cargar ejemplos incluidos en el proyecto y ejecutar pruebas válidas o inválidas.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Compilar y observar el resultado general del proceso.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Consultar tokens, AST, estado del runtime, TAC y código SAM-VM.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Probar los agentes construidos enviándoles mensajes.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Seleccionar un proveedor de IA configurado o utilizar selección automática.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Observar la traza de ejecución y detectar si se utilizó fallback.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Acceder localmente mediante http://127.0.0.1:3000 o mediante una URL pública una vez desplegado.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Límite importante. </w:t>
            </w:r>
            <w:r>
              <w:rPr>
                <w:rFonts w:ascii="Times New Roman" w:hAnsi="Times New Roman"/>
                <w:color w:val="000000"/>
                <w:sz w:val="20"/>
              </w:rPr>
              <w:t>SAM-Lang Studio es un proyecto académico. La integración con modelos externos depende de las credenciales, cuotas, disponibilidad y modelos habilitados por cada proveedor. El compilador y el runtime local pueden utilizarse aunque no exista una API de IA configurada.</w:t>
            </w:r>
          </w:p>
        </w:tc>
      </w:tr>
    </w:tbl>
    <w:p/>
    <w:p>
      <w:pPr>
        <w:pStyle w:val="Heading1"/>
      </w:pPr>
      <w:r>
        <w:t>3. Requisitos de uso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1. Requisitos por modalidad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Modalidad</w:t>
            </w:r>
          </w:p>
        </w:tc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Requisito</w:t>
            </w:r>
          </w:p>
        </w:tc>
        <w:tc>
          <w:tcPr>
            <w:tcW w:type="dxa" w:w="368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Observación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URL pública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Navegador web moderno y conexión a Internet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No requiere instalar Node.js ni CMake en el equipo del usuario.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Ejecución local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Windows 10/11, Linux o macOS; Node.js 18+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El backend se inicia con npm start.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Compilador C++ local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CMake 3.10+ y compilador C++17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Necesario para la ruta /ejecutar y el binario nativo.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IA remota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Clave API válida del proveedor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La clave no debe compartirse ni incluirse en el código fuente.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Ollama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Servicio Ollama ejecutándose localmente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No requiere clave, pero sí un modelo instalado y accesible.</w:t>
            </w:r>
          </w:p>
        </w:tc>
      </w:tr>
    </w:tbl>
    <w:p/>
    <w:p>
      <w:pPr>
        <w:pStyle w:val="Heading1"/>
      </w:pPr>
      <w:r>
        <w:t>4. Acceso al sistema</w:t>
      </w:r>
    </w:p>
    <w:p>
      <w:pPr>
        <w:pStyle w:val="Heading2"/>
      </w:pPr>
      <w:r>
        <w:t>4.1 Acceso local en Windows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Descomprima el proyecto en una carpeta de trabajo.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Ejecute ABRIR_WEB.bat.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Si el navegador no se abre automáticamente, abra una ventana y escriba http://127.0.0.1:3000.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Mantenga abierta la consola mientras utiliza el sistema. Para detener el servidor, presione Ctrl+C.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cd /d D:\SAM-LANG-STUDIO-MULTIMODELO-v2</w:t>
        <w:br/>
        <w:t>npm start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El servidor utiliza el puerto 3000 de forma predeterminada. Si el puerto está ocupado, puede definirse otro mediante la variable PORT. No es necesario usar el puerto 8080.</w:t>
      </w:r>
    </w:p>
    <w:p>
      <w:pPr>
        <w:pStyle w:val="Heading2"/>
      </w:pPr>
      <w:r>
        <w:t>4.2 Acceso mediante URL pública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Cuando el proyecto sea publicado en un servicio web, el docente recibirá únicamente la URL. En esa modalidad, el usuario abre la dirección HTTPS y utiliza la interfaz directamente. Las claves de IA deben configurarse como secretos del servidor; no se recomienda habilitar la carga de credenciales desde una interfaz pública sin autenticación.</w:t>
      </w:r>
    </w:p>
    <w:p>
      <w:pPr>
        <w:pStyle w:val="Heading1"/>
      </w:pPr>
      <w:r>
        <w:t>5. Reconocimiento de la interfaz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2. Componentes visibles de la interfaz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43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Zona</w:t>
            </w:r>
          </w:p>
        </w:tc>
        <w:tc>
          <w:tcPr>
            <w:tcW w:type="dxa" w:w="63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Función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Cabecera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Identifica SAM-Lang Studio y muestra el estado del motor web y de la IA.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Barra de herramientas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Permite elegir un ejemplo, cargarlo, abrir Configurar IA, limpiar resultados y compilar/ejecutar.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Editor SAM-Lang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Área de entrada del código fuente; muestra el número de líneas.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Consola del compilador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Presenta aceptación, errores y resumen del procesamiento.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Probar agente creado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Permite seleccionar un agente, proveedor de IA y enviar un mensaje.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Respuesta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Muestra la respuesta del agente o del modo local.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Traza de ejecución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Indica flujo, acciones, proveedor, modelo, fallback o error.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Pestañas de detalle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Tokens, AST, Runtime, TAC y SAM-VM.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7732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732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1. Funciones principales disponibles para el usuario.</w:t>
      </w:r>
    </w:p>
    <w:p>
      <w:pPr>
        <w:pStyle w:val="Heading1"/>
      </w:pPr>
      <w:r>
        <w:t>6. Flujo de trabajo recomendado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Seleccione un ejemplo en la lista y pulse Cargar, o escriba su propio código.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Revise la sintaxis básica y pulse Compilar y ejecutar.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Compruebe el estado de la consola. Si existe un error, corrija la línea indicada y vuelva a compilar.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Abra las pestañas Tokens, AST, Runtime, TAC y SAM-VM para interpretar cada fase.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En Probar agente creado, seleccione el agente activo.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Si el agente declara una herramienta de IA, seleccione Proveedor automático o un proveedor específico.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Escriba un mensaje y pulse Enviar mensaje.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8. Compruebe la respuesta y la traza para saber qué proveedor/modelo respondió y si hubo fallback.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4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2. Secuencia conceptual del procesamiento de un programa SAM-Lang.</w:t>
      </w:r>
    </w:p>
    <w:p>
      <w:pPr>
        <w:pStyle w:val="Heading1"/>
      </w:pPr>
      <w:r>
        <w:t>7. Sintaxis práctica de SAM-Lang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Un programa puede declarar uno o más agentes y, opcionalmente, uno o más bloques runtime. Los elementos del lenguaje se escriben en minúsculas para las palabras reservadas y los nombres definidos por el usuario se representan mediante identificadores.</w:t>
      </w:r>
    </w:p>
    <w:p>
      <w:pPr>
        <w:pStyle w:val="Heading2"/>
      </w:pPr>
      <w:r>
        <w:t>7.1 Estructura mínima de un agente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agente AsistenteMultiIA {</w:t>
        <w:br/>
        <w:t xml:space="preserve">    objetivo: "Responder solicitudes generales";</w:t>
        <w:br/>
        <w:t xml:space="preserve">    inteligencia: experto;</w:t>
        <w:br/>
        <w:t xml:space="preserve">    memoria: persistente;</w:t>
        <w:br/>
        <w:t xml:space="preserve">    herramientas: [ia];</w:t>
        <w:br/>
        <w:t xml:space="preserve">    permisos: [leer, usar, enviar];</w:t>
        <w:br/>
        <w:br/>
        <w:t xml:space="preserve">    flujo consulta {</w:t>
        <w:br/>
        <w:t xml:space="preserve">        recibir mensaje;</w:t>
        <w:br/>
        <w:t xml:space="preserve">        responder "Solicitud recibida";</w:t>
        <w:br/>
        <w:t xml:space="preserve">    }</w:t>
        <w:br/>
        <w:t>}</w:t>
      </w:r>
    </w:p>
    <w:p>
      <w:pPr>
        <w:pStyle w:val="Heading2"/>
      </w:pPr>
      <w:r>
        <w:t>7.2 Campos y construcciones principales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3. Resumen de construcciones del lenguaje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814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Construcción</w:t>
            </w:r>
          </w:p>
        </w:tc>
        <w:tc>
          <w:tcPr>
            <w:tcW w:type="dxa" w:w="357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Finalidad</w:t>
            </w:r>
          </w:p>
        </w:tc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Ejemplo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objetivo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Describe la finalidad del agente.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objetivo: "Ayudar al usuario";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inteligencia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Etiqueta el nivel o tipo de inteligencia.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inteligencia: experto;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memoria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Define memoria persistente, compartida u otro identificador admitido.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memoria: persistente;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herramientas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Lista herramientas del agente.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herramientas: [ia];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permisos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Lista permisos: leer, escritura, usar, enviar.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permisos: [leer, usar];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restricciones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Define restricciones, incluida requiere_aprobacion.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restricciones: [requiere_aprobacion];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depende_de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Declara dependencias con otros agentes.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depende_de: [Coordinador];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delega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Envía una tarea a otro agente.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delega: tarea -&gt; AgenteB;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flujo / flujo_dinamico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Agrupa pasos de ejecución.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flujo consulta { ... }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si / sino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Permite decisiones con comparadores.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si (x &gt;= 1) { responder "ok"; }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runtime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Configura coordinación global.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runtime Sistema { coordinador: A; }</w:t>
            </w:r>
          </w:p>
        </w:tc>
      </w:tr>
    </w:tbl>
    <w:p/>
    <w:p>
      <w:pPr>
        <w:pStyle w:val="Heading2"/>
      </w:pPr>
      <w:r>
        <w:t>7.3 Operadores admitidos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Operador</w:t>
            </w:r>
          </w:p>
        </w:tc>
        <w:tc>
          <w:tcPr>
            <w:tcW w:type="dxa" w:w="65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==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igualdad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!=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diferencia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&gt;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mayor que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&lt;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menor que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&gt;=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mayor o igual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&lt;=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menor o igual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-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signo negativo en valores numéricos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!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negación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-&gt; o →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encadenamiento/delegación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Advertencia sintáctica. </w:t>
            </w:r>
            <w:r>
              <w:rPr>
                <w:rFonts w:ascii="Times New Roman" w:hAnsi="Times New Roman"/>
                <w:color w:val="000000"/>
                <w:sz w:val="20"/>
              </w:rPr>
              <w:t>Para comparar se utiliza ==. El símbolo = se reconoce para producir un diagnóstico explícito cuando se usa incorrectamente como operador de comparación.</w:t>
            </w:r>
          </w:p>
        </w:tc>
      </w:tr>
    </w:tbl>
    <w:p/>
    <w:p>
      <w:pPr>
        <w:pStyle w:val="Heading1"/>
      </w:pPr>
      <w:r>
        <w:t>8. Ejemplos incluidos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4. Biblioteca de ejemplos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814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Archivo</w:t>
            </w:r>
          </w:p>
        </w:tc>
        <w:tc>
          <w:tcPr>
            <w:tcW w:type="dxa" w:w="419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Objetivo de demostración</w:t>
            </w:r>
          </w:p>
        </w:tc>
        <w:tc>
          <w:tcPr>
            <w:tcW w:type="dxa" w:w="272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multimodelo.sam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 con herramientas: [ia] y selección de proveedor.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Compila y ejecuta; genera TAC y SAM-VM.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medico.sam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 con Gemini y herramientas adicionales.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Compila; puede consultar IA si existe credencial.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comunicacion.sam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Varios agentes, dependencias, coordinación y runtime.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Compila y evidencia comunicación.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asistente.sam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Condicionales y respuesta local.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Compila y ejecuta sin requerir IA externa.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error_semantico.sam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Referencia semánticamente inválida.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Debe ser rechazado en análisis semántico.</w:t>
            </w:r>
          </w:p>
        </w:tc>
      </w:tr>
    </w:tbl>
    <w:p/>
    <w:p>
      <w:pPr>
        <w:pStyle w:val="Heading1"/>
      </w:pPr>
      <w:r>
        <w:t>9. Configuración de IA multimodelo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La opción recomendada en el lenguaje es herramientas: [ia];. De esta forma el programa no queda ligado a un proveedor específico. También se reconocen gemini, openai, claude/anthropic, deepseek, groq y ollama.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Pulse Configurar IA.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Seleccione el proveedor.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Escriba el identificador del modelo.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Para proveedores remotos, introduzca la clave API. Para Ollama, indique la URL del servicio local.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Mantenga habilitado el respaldo si desea que otro proveedor configurado sea intentado ante una falla.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Guarde y confirme que el estado del proveedor aparezca como configurado.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5. Proveedores de IA admitidos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Proveedor</w:t>
            </w:r>
          </w:p>
        </w:tc>
        <w:tc>
          <w:tcPr>
            <w:tcW w:type="dxa" w:w="1984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Credencial</w:t>
            </w:r>
          </w:p>
        </w:tc>
        <w:tc>
          <w:tcPr>
            <w:tcW w:type="dxa" w:w="45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Configuración habitual del proyecto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Google Gemini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GEMINI_API_KEY / GEMINI_MODEL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OpenAI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OPENAI_API_KEY / OPENAI_MODEL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Anthropic Claude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ANTHROPIC_API_KEY / ANTHROPIC_MODEL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DeepSeek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DEEPSEEK_API_KEY / DEEPSEEK_MODEL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Groq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GROQ_API_KEY / GROQ_MODEL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Ollama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requiere 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OLLAMA_ENABLED / OLLAMA_URL / OLLAMA_MODEL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19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1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3. Selección del proveedor y mecanismo de fallback.</w:t>
      </w:r>
    </w:p>
    <w:p>
      <w:pPr>
        <w:pStyle w:val="Heading1"/>
      </w:pPr>
      <w:r>
        <w:t>10. Probar un agente creado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Después de una compilación válida, el selector de agentes se habilita. El mensaje escrito por el usuario se procesa junto con el contexto del agente: nombre, objetivo, inteligencia, memoria, herramientas, permisos y restricciones. Si el agente posee una herramienta de IA, el backend intenta el proveedor preferido; si no, la respuesta procede del runtime local.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La traza es especialmente importante durante la exposición: permite evidenciar el flujo ejecutado, las acciones realizadas, el proveedor que respondió, el modelo y los intentos fallidos previos. Esto diferencia el funcionamiento real de una simple interfaz simulada.</w:t>
      </w:r>
    </w:p>
    <w:p>
      <w:pPr>
        <w:pStyle w:val="Heading1"/>
      </w:pPr>
      <w:r>
        <w:t>11. Interpretación de las pestañas técnicas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6. Lectura de resultados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41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Pestaña</w:t>
            </w:r>
          </w:p>
        </w:tc>
        <w:tc>
          <w:tcPr>
            <w:tcW w:type="dxa" w:w="368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Qué muestra</w:t>
            </w:r>
          </w:p>
        </w:tc>
        <w:tc>
          <w:tcPr>
            <w:tcW w:type="dxa" w:w="368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Qué debe verificar el usuario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Tokens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Lexemas clasificados por el lexer.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Que no existan tokens de error y que línea/columna sean coherentes.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Estructura jerárquica del programa.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Agentes, flujos, campos y condicionales correctamente organizados.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Runtime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Estado de agentes y ejecución.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Agentes activos y acciones del flujo.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TAC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Código intermedio de tres direcciones/operaciones.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Creación/configuración de agentes, llamadas, saltos y etiquetas.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SAM-VM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Código final textual de la máquina virtual académica.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Instrucciones LOAD_AGENT, EXECUTE, JUMP, GRANT y HALT, entre otras.</w:t>
            </w:r>
          </w:p>
        </w:tc>
      </w:tr>
    </w:tbl>
    <w:p/>
    <w:p>
      <w:pPr>
        <w:pStyle w:val="Heading1"/>
      </w:pPr>
      <w:r>
        <w:t>12. Mensajes de error y solución de problemas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7. Catálogo de errores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Mensaje/código</w:t>
            </w:r>
          </w:p>
        </w:tc>
        <w:tc>
          <w:tcPr>
            <w:tcW w:type="dxa" w:w="311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Causa probable</w:t>
            </w:r>
          </w:p>
        </w:tc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Acción recomendada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listen EACCES / puerto ocupado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Otro proceso usa el puerto o existe una restricción del sistema.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Usar PORT=3000 u otro puerto libre; no es obligatorio 8080.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No se encontró sam_compilador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binario C++ no fue construido o no está en una ruta reconocida.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Ejecutar CMake y construir el proyecto.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ERROR LEXICO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Carácter o lexema no reconocido.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Corregir la línea/columna indicada.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RECHAZO PDA / RECHAZO PARSER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Estructura sintáctica incompleta o inválida.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Revisar llaves, punto y coma, listas, paréntesis y operadores.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Error semántico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Dependencia, coordinador o destino inexistente/duplicado.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Corregir referencias entre agentes o runtime.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AI_NOT_DECLARED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agente no declaró ia ni un proveedor reconocido.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Agregar herramientas: [ia]; o un proveedor explícito.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NOT_CONFIGURED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No existe credencial/configuración para el proveedor.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Configurar el proveedor o seleccionar otro.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TIMEOUT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proveedor no respondió dentro del tiempo configurado.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Reintentar; revisar conectividad o habilitar fallback.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RATE_LIMIT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Cuota o límite de solicitudes alcanzado.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Esperar o utilizar otro proveedor configurado.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ALL_PROVIDERS_FAILED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Todos los proveedores disponibles fallaron.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Revisar credenciales, modelos, red y cuotas; usar respaldo local.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WEB_CONFIG_DISABLED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despliegue público impide guardar claves desde la web.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administrador debe configurar secretos en el hosting.</w:t>
            </w:r>
          </w:p>
        </w:tc>
      </w:tr>
    </w:tbl>
    <w:p/>
    <w:p>
      <w:pPr>
        <w:pStyle w:val="Heading1"/>
      </w:pPr>
      <w:r>
        <w:t>13. Seguridad para el usuario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No comparta claves API por chat, correo, capturas, repositorios o documentos.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No incluya config/.env en Git o en el ZIP de entrega.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En un despliegue público, las claves deben residir en variables secretas del servidor y ALLOW_WEB_CONFIG debe permanecer deshabilitado.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Revise que la traza y las capturas no muestren credenciales.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Verifique la disponibilidad del modelo antes de una exposición, ya que los nombres y accesos pueden cambiar por proveedor.</w:t>
      </w:r>
    </w:p>
    <w:p>
      <w:pPr>
        <w:pStyle w:val="Heading1"/>
      </w:pPr>
      <w:r>
        <w:t>14. Procedimiento de demostración para el docente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Abrir la URL pública.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Cargar multimodelo.sam.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Compilar y mostrar la consola de aceptación.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Abrir Tokens y AST para evidenciar análisis formal.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Abrir TAC y SAM-VM para evidenciar generación de código.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Seleccionar el agente y enviar un mensaje.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Mostrar proveedor/modelo en la traza.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8. Cargar error_semantico.sam y demostrar que el sistema rechaza el programa inválido.</w:t>
      </w:r>
    </w:p>
    <w:p>
      <w:pPr>
        <w:pStyle w:val="Heading1"/>
      </w:pPr>
      <w:r>
        <w:t>15. Preguntas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Pregunta</w:t>
            </w:r>
          </w:p>
        </w:tc>
        <w:tc>
          <w:tcPr>
            <w:tcW w:type="dxa" w:w="5386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Respuesta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¿El sistema necesita Internet?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 compilador y runtime local no; las IAs remotas sí. Ollama puede funcionar en la red/local.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¿Debo usar siempre Gemini?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No. La versión 2 permite varios proveedores y herramientas: [ia].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¿Puedo cambiar el puerto?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Sí. El servidor utiliza PORT y por defecto 3000.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¿Por qué el docente solo debe recibir una URL?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Porque el despliegue web elimina la instalación local para el evaluador.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¿El navegador contiene las claves?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deben quedar embebidas en frontend. En local se envían al backend para guardarlas; en producción se recomiendan secretos del servidor.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¿Qué pasa si todas las IAs fallan?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 capa IA informa los intentos y la interfaz conserva el respaldo del runtime local cuando corresponde.</w:t>
            </w:r>
          </w:p>
        </w:tc>
      </w:tr>
    </w:tbl>
    <w:p/>
    <w:p>
      <w:pPr>
        <w:pStyle w:val="Heading1"/>
      </w:pPr>
      <w:r>
        <w:t>16.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1984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Término</w:t>
            </w:r>
          </w:p>
        </w:tc>
        <w:tc>
          <w:tcPr>
            <w:tcW w:type="dxa" w:w="6803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AFD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Autómata finito determinista empleado como referencia para el análisis léxico.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PDA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Autómata de pila utilizado para verificación sintáctica tabular.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Token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Unidad léxica producida por el lexer.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AST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Árbol de sintaxis abstracta que representa la estructura del programa.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Semántica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Validaciones de coherencia que exceden la forma gramatical.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Runtime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Motor que activa agentes y ejecuta flujos.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TAC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Representación intermedia de operaciones del programa.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SAM-VM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Formato de código final textual definido por el proyecto.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API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Interfaz de programación usada para conectar el backend con servicios de IA.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Fallback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Uso de un proveedor alternativo cuando el preferido falla.</w:t>
            </w:r>
          </w:p>
        </w:tc>
      </w:tr>
    </w:tbl>
    <w:p/>
    <w:p>
      <w:pPr>
        <w:pStyle w:val="Heading1"/>
      </w:pPr>
      <w:r>
        <w:t>Anexo A. Práctica guiada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Objetivo: comprobar de principio a fin que el sistema diferencia un programa válido de uno inválido y que puede ejecutar un agente con IA o con respaldo local.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Cargue multimodelo.sam y compile.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Anote el número de agentes y runtimes reportados.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Compare el TAC original con el optimizado.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Abra SAM-VM y ubique HALT.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Envíe un mensaje al agente.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Cargue error_semantico.sam y registre el diagnóstico.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Explique por qué el segundo archivo debe ser rechazado.</w:t>
      </w:r>
    </w:p>
    <w:p>
      <w:pPr>
        <w:pStyle w:val="Heading1"/>
      </w:pPr>
      <w:r>
        <w:t>Referencias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Aho, A. V., Lam, M. S., Sethi, R., &amp; Ullman, J. D. (2007). Compilers: Principles, Techniques, and Tools (2nd ed.). Pearson.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Hopcroft, J. E., Motwani, R., &amp; Ullman, J. D. (2007). Introduction to Automata Theory, Languages, and Computation (3rd ed.). Pearson.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Node.js. (2026). HTTP API. Node.js Documentation. https://nodejs.org/api/http.html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Kitware. (2026). CMake command-line reference. https://cmake.org/cmake/help/latest/manual/cmake.1.html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Docker. (2026). Dockerfile reference. https://docs.docker.com/reference/dockerfile/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Google. (2026). Gemini API: API keys and generateContent. Google AI for Developers. https://ai.google.dev/gemini-api/docs/generate-content/api-key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OpenAI. (2026). OpenAI API documentation: Responses API and model guidance. https://developers.openai.com/api/docs/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Anthropic. (2026). Messages API. Claude Platform Docs. https://docs.anthropic.com/en/api/messages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DeepSeek. (2026). DeepSeek API documentation. https://api-docs.deepseek.com/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Groq. (2026). OpenAI compatibility. GroqDocs. https://console.groq.com/docs/openai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Ollama. (2026). API reference: chat. https://docs.ollama.com/api/chat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Render. (2026). Web Services and Docker on Render. https://render.com/docs/web-services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SAM-Lang Studio. (2026). Código fuente, autómatas, ejemplos y pruebas internas de la versión 2.0.0 [Proyecto académico].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66666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color w:val="666666"/>
        <w:sz w:val="18"/>
      </w:rPr>
      <w:t>SAM-Lang Studio v2.0.0 —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before="80" w:after="80"/>
      <w:ind w:left="283" w:right="17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