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Requerimientos para la configuración del entorno virtual</w:t>
      </w:r>
    </w:p>
    <w:bookmarkStart w:id="9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define los requerimientos técnicos mínimos para configurar un entorno virtual reproducible y operativo para el workflow de producción del Índice de Integridad Ecosistémica.</w:t>
      </w:r>
    </w:p>
    <w:p>
      <w:pPr>
        <w:pStyle w:val="BodyText"/>
      </w:pPr>
      <w:r>
        <w:t xml:space="preserve">Su propósito es servir como guía para:</w:t>
      </w:r>
    </w:p>
    <w:p>
      <w:pPr>
        <w:pStyle w:val="Compact"/>
        <w:numPr>
          <w:ilvl w:val="0"/>
          <w:numId w:val="1001"/>
        </w:numPr>
      </w:pPr>
      <w:r>
        <w:t xml:space="preserve">preparar estaciones de trabajo;</w:t>
      </w:r>
    </w:p>
    <w:p>
      <w:pPr>
        <w:pStyle w:val="Compact"/>
        <w:numPr>
          <w:ilvl w:val="0"/>
          <w:numId w:val="1001"/>
        </w:numPr>
      </w:pPr>
      <w:r>
        <w:t xml:space="preserve">definir entornos reproducibles;</w:t>
      </w:r>
    </w:p>
    <w:p>
      <w:pPr>
        <w:pStyle w:val="Compact"/>
        <w:numPr>
          <w:ilvl w:val="0"/>
          <w:numId w:val="1001"/>
        </w:numPr>
      </w:pPr>
      <w:r>
        <w:t xml:space="preserve">reducir conflictos entre dependencias;</w:t>
      </w:r>
    </w:p>
    <w:p>
      <w:pPr>
        <w:pStyle w:val="Compact"/>
        <w:numPr>
          <w:ilvl w:val="0"/>
          <w:numId w:val="1001"/>
        </w:numPr>
      </w:pPr>
      <w:r>
        <w:t xml:space="preserve">asegurar que el pipeline pueda ejecutarse de manera consistente.</w:t>
      </w:r>
    </w:p>
    <w:bookmarkEnd w:id="9"/>
    <w:bookmarkStart w:id="10" w:name="objetivo-del-entorno-virtual"/>
    <w:p>
      <w:pPr>
        <w:pStyle w:val="Heading1"/>
      </w:pPr>
      <w:r>
        <w:t xml:space="preserve">Objetivo del entorno virtual</w:t>
      </w:r>
    </w:p>
    <w:p>
      <w:pPr>
        <w:pStyle w:val="FirstParagraph"/>
      </w:pPr>
      <w:r>
        <w:t xml:space="preserve">El entorno virtual debe proporcionar una base controlada para ejecutar un flujo que incluye:</w:t>
      </w:r>
    </w:p>
    <w:p>
      <w:pPr>
        <w:pStyle w:val="Compact"/>
        <w:numPr>
          <w:ilvl w:val="0"/>
          <w:numId w:val="1002"/>
        </w:numPr>
      </w:pPr>
      <w:r>
        <w:t xml:space="preserve">geoprocesamiento vectorial y raster;</w:t>
      </w:r>
    </w:p>
    <w:p>
      <w:pPr>
        <w:pStyle w:val="Compact"/>
        <w:numPr>
          <w:ilvl w:val="0"/>
          <w:numId w:val="1002"/>
        </w:numPr>
      </w:pPr>
      <w:r>
        <w:t xml:space="preserve">integración tabular;</w:t>
      </w:r>
    </w:p>
    <w:p>
      <w:pPr>
        <w:pStyle w:val="Compact"/>
        <w:numPr>
          <w:ilvl w:val="0"/>
          <w:numId w:val="1002"/>
        </w:numPr>
      </w:pPr>
      <w:r>
        <w:t xml:space="preserve">serialización de datos intermedios;</w:t>
      </w:r>
    </w:p>
    <w:p>
      <w:pPr>
        <w:pStyle w:val="Compact"/>
        <w:numPr>
          <w:ilvl w:val="0"/>
          <w:numId w:val="1002"/>
        </w:numPr>
      </w:pPr>
      <w:r>
        <w:t xml:space="preserve">ejecución orquestada por Snakemake;</w:t>
      </w:r>
    </w:p>
    <w:p>
      <w:pPr>
        <w:pStyle w:val="Compact"/>
        <w:numPr>
          <w:ilvl w:val="0"/>
          <w:numId w:val="1002"/>
        </w:numPr>
      </w:pPr>
      <w:r>
        <w:t xml:space="preserve">validación automatizada con pytest;</w:t>
      </w:r>
    </w:p>
    <w:p>
      <w:pPr>
        <w:pStyle w:val="Compact"/>
        <w:numPr>
          <w:ilvl w:val="0"/>
          <w:numId w:val="1002"/>
        </w:numPr>
      </w:pPr>
      <w:r>
        <w:t xml:space="preserve">modelado probabilístico, cuando corresponda;</w:t>
      </w:r>
    </w:p>
    <w:p>
      <w:pPr>
        <w:pStyle w:val="Compact"/>
        <w:numPr>
          <w:ilvl w:val="0"/>
          <w:numId w:val="1002"/>
        </w:numPr>
      </w:pPr>
      <w:r>
        <w:t xml:space="preserve">generación de productos raster finales.</w:t>
      </w:r>
    </w:p>
    <w:bookmarkEnd w:id="10"/>
    <w:bookmarkStart w:id="11" w:name="requerimientos-funcionales-del-entorno"/>
    <w:p>
      <w:pPr>
        <w:pStyle w:val="Heading1"/>
      </w:pPr>
      <w:r>
        <w:t xml:space="preserve">Requerimientos funcionales del entorno</w:t>
      </w:r>
    </w:p>
    <w:p>
      <w:pPr>
        <w:pStyle w:val="FirstParagraph"/>
      </w:pPr>
      <w:r>
        <w:t xml:space="preserve">El entorno virtual debe permitir:</w:t>
      </w:r>
    </w:p>
    <w:p>
      <w:pPr>
        <w:pStyle w:val="Compact"/>
        <w:numPr>
          <w:ilvl w:val="0"/>
          <w:numId w:val="1003"/>
        </w:numPr>
      </w:pPr>
      <w:r>
        <w:t xml:space="preserve">ejecutar scripts Python desde línea de comandos;</w:t>
      </w:r>
    </w:p>
    <w:p>
      <w:pPr>
        <w:pStyle w:val="Compact"/>
        <w:numPr>
          <w:ilvl w:val="0"/>
          <w:numId w:val="1003"/>
        </w:numPr>
      </w:pPr>
      <w:r>
        <w:t xml:space="preserve">importar correctamente bibliotecas numéricas, tabulares y geoespaciales;</w:t>
      </w:r>
    </w:p>
    <w:p>
      <w:pPr>
        <w:pStyle w:val="Compact"/>
        <w:numPr>
          <w:ilvl w:val="0"/>
          <w:numId w:val="1003"/>
        </w:numPr>
      </w:pPr>
      <w:r>
        <w:t xml:space="preserve">leer y escribir archivos vectoriales;</w:t>
      </w:r>
    </w:p>
    <w:p>
      <w:pPr>
        <w:pStyle w:val="Compact"/>
        <w:numPr>
          <w:ilvl w:val="0"/>
          <w:numId w:val="1003"/>
        </w:numPr>
      </w:pPr>
      <w:r>
        <w:t xml:space="preserve">leer, reproyectar, rasterizar y escribir archivos raster;</w:t>
      </w:r>
    </w:p>
    <w:p>
      <w:pPr>
        <w:pStyle w:val="Compact"/>
        <w:numPr>
          <w:ilvl w:val="0"/>
          <w:numId w:val="1003"/>
        </w:numPr>
      </w:pPr>
      <w:r>
        <w:t xml:space="preserve">leer y escribir tablas en Parquet;</w:t>
      </w:r>
    </w:p>
    <w:p>
      <w:pPr>
        <w:pStyle w:val="Compact"/>
        <w:numPr>
          <w:ilvl w:val="0"/>
          <w:numId w:val="1003"/>
        </w:numPr>
      </w:pPr>
      <w:r>
        <w:t xml:space="preserve">ejecutar Snakemake;</w:t>
      </w:r>
    </w:p>
    <w:p>
      <w:pPr>
        <w:pStyle w:val="Compact"/>
        <w:numPr>
          <w:ilvl w:val="0"/>
          <w:numId w:val="1003"/>
        </w:numPr>
      </w:pPr>
      <w:r>
        <w:t xml:space="preserve">correr pruebas con pytest;</w:t>
      </w:r>
    </w:p>
    <w:p>
      <w:pPr>
        <w:pStyle w:val="Compact"/>
        <w:numPr>
          <w:ilvl w:val="0"/>
          <w:numId w:val="1003"/>
        </w:numPr>
      </w:pPr>
      <w:r>
        <w:t xml:space="preserve">soportar, cuando sea necesario, bibliotecas de modelado probabilístico;</w:t>
      </w:r>
    </w:p>
    <w:p>
      <w:pPr>
        <w:pStyle w:val="Compact"/>
        <w:numPr>
          <w:ilvl w:val="0"/>
          <w:numId w:val="1003"/>
        </w:numPr>
      </w:pPr>
      <w:r>
        <w:t xml:space="preserve">registrar y reproducir la configuración usada.</w:t>
      </w:r>
    </w:p>
    <w:bookmarkEnd w:id="11"/>
    <w:bookmarkStart w:id="24" w:name="requerimientos-técnicos-mínimos"/>
    <w:p>
      <w:pPr>
        <w:pStyle w:val="Heading1"/>
      </w:pPr>
      <w:r>
        <w:t xml:space="preserve">Requerimientos técnicos mínimos</w:t>
      </w:r>
    </w:p>
    <w:bookmarkStart w:id="12" w:name="lenguaje"/>
    <w:p>
      <w:pPr>
        <w:pStyle w:val="Heading2"/>
      </w:pPr>
      <w:r>
        <w:t xml:space="preserve">Lenguaje</w:t>
      </w:r>
    </w:p>
    <w:p>
      <w:pPr>
        <w:pStyle w:val="Compact"/>
        <w:numPr>
          <w:ilvl w:val="0"/>
          <w:numId w:val="1004"/>
        </w:numPr>
      </w:pPr>
      <w:r>
        <w:t xml:space="preserve">Python 3.x en una versión estable y soportada por las bibliotecas geoespaciales seleccionadas.</w:t>
      </w:r>
    </w:p>
    <w:bookmarkEnd w:id="12"/>
    <w:bookmarkStart w:id="22" w:name="bibliotecas-python-requeridas"/>
    <w:p>
      <w:pPr>
        <w:pStyle w:val="Heading2"/>
      </w:pPr>
      <w:r>
        <w:t xml:space="preserve">Bibliotecas Python requeridas</w:t>
      </w:r>
    </w:p>
    <w:bookmarkStart w:id="13" w:name="núcleo-numérico-y-tabular"/>
    <w:p>
      <w:pPr>
        <w:pStyle w:val="Heading3"/>
      </w:pPr>
      <w:r>
        <w:t xml:space="preserve">Núcleo numérico y tabular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numpy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pandas</w:t>
      </w:r>
    </w:p>
    <w:bookmarkEnd w:id="13"/>
    <w:bookmarkStart w:id="14" w:name="serialización-tabular"/>
    <w:p>
      <w:pPr>
        <w:pStyle w:val="Heading3"/>
      </w:pPr>
      <w:r>
        <w:t xml:space="preserve">Serialización tabular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pyarrow</w:t>
      </w:r>
    </w:p>
    <w:bookmarkEnd w:id="14"/>
    <w:bookmarkStart w:id="15" w:name="geoespacial-vectorial"/>
    <w:p>
      <w:pPr>
        <w:pStyle w:val="Heading3"/>
      </w:pPr>
      <w:r>
        <w:t xml:space="preserve">Geoespacial vectorial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geopandas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shapely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pyproj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fiona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pyogrio</w:t>
      </w:r>
    </w:p>
    <w:bookmarkEnd w:id="15"/>
    <w:bookmarkStart w:id="16" w:name="geoespacial-raster"/>
    <w:p>
      <w:pPr>
        <w:pStyle w:val="Heading3"/>
      </w:pPr>
      <w:r>
        <w:t xml:space="preserve">Geoespacial raster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rasterio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affine</w:t>
      </w:r>
    </w:p>
    <w:bookmarkEnd w:id="16"/>
    <w:bookmarkStart w:id="17" w:name="modelado-y-análisis-auxiliar"/>
    <w:p>
      <w:pPr>
        <w:pStyle w:val="Heading3"/>
      </w:pPr>
      <w:r>
        <w:t xml:space="preserve">Modelado y análisis auxiliar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scipy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scikit-learn</w:t>
      </w:r>
    </w:p>
    <w:bookmarkEnd w:id="17"/>
    <w:bookmarkStart w:id="18" w:name="modelado-probabilístico-según-etapa"/>
    <w:p>
      <w:pPr>
        <w:pStyle w:val="Heading3"/>
      </w:pPr>
      <w:r>
        <w:t xml:space="preserve">Modelado probabilístico</w:t>
      </w:r>
      <w:r>
        <w:t xml:space="preserve"> </w:t>
      </w:r>
      <w:r>
        <w:rPr>
          <w:i/>
          <w:iCs/>
        </w:rPr>
        <w:t xml:space="preserve">(según etapa)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pgmpy</w:t>
      </w:r>
    </w:p>
    <w:bookmarkEnd w:id="18"/>
    <w:bookmarkStart w:id="19" w:name="visualización-auxiliar"/>
    <w:p>
      <w:pPr>
        <w:pStyle w:val="Heading3"/>
      </w:pPr>
      <w:r>
        <w:t xml:space="preserve">Visualización auxiliar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matplotlib</w:t>
      </w:r>
    </w:p>
    <w:bookmarkEnd w:id="19"/>
    <w:bookmarkStart w:id="20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snakemake</w:t>
      </w:r>
    </w:p>
    <w:bookmarkEnd w:id="20"/>
    <w:bookmarkStart w:id="21" w:name="pruebas"/>
    <w:p>
      <w:pPr>
        <w:pStyle w:val="Heading3"/>
      </w:pPr>
      <w:r>
        <w:t xml:space="preserve">Pruebas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pytest</w:t>
      </w:r>
    </w:p>
    <w:bookmarkEnd w:id="21"/>
    <w:bookmarkEnd w:id="22"/>
    <w:bookmarkStart w:id="23" w:name="dependencias-nativas-requeridas"/>
    <w:p>
      <w:pPr>
        <w:pStyle w:val="Heading2"/>
      </w:pPr>
      <w:r>
        <w:t xml:space="preserve">Dependencias nativas requeridas</w:t>
      </w:r>
    </w:p>
    <w:p>
      <w:pPr>
        <w:pStyle w:val="FirstParagraph"/>
      </w:pPr>
      <w:r>
        <w:t xml:space="preserve">El entorno debe asegurar compatibilidad con bibliotecas del sistema requeridas por el stack geoespacial:</w:t>
      </w:r>
    </w:p>
    <w:p>
      <w:pPr>
        <w:pStyle w:val="Compact"/>
        <w:numPr>
          <w:ilvl w:val="0"/>
          <w:numId w:val="1014"/>
        </w:numPr>
      </w:pPr>
      <w:r>
        <w:t xml:space="preserve">GDAL</w:t>
      </w:r>
    </w:p>
    <w:p>
      <w:pPr>
        <w:pStyle w:val="Compact"/>
        <w:numPr>
          <w:ilvl w:val="0"/>
          <w:numId w:val="1014"/>
        </w:numPr>
      </w:pPr>
      <w:r>
        <w:t xml:space="preserve">PROJ</w:t>
      </w:r>
    </w:p>
    <w:p>
      <w:pPr>
        <w:pStyle w:val="Compact"/>
        <w:numPr>
          <w:ilvl w:val="0"/>
          <w:numId w:val="1014"/>
        </w:numPr>
      </w:pPr>
      <w:r>
        <w:t xml:space="preserve">GEOS</w:t>
      </w:r>
    </w:p>
    <w:p>
      <w:pPr>
        <w:pStyle w:val="FirstParagraph"/>
      </w:pPr>
      <w:r>
        <w:t xml:space="preserve">Estas dependencias deben ser consistentes con las versiones de</w:t>
      </w:r>
      <w:r>
        <w:t xml:space="preserve"> </w:t>
      </w:r>
      <w:r>
        <w:rPr>
          <w:rStyle w:val="VerbatimChar"/>
        </w:rPr>
        <w:t xml:space="preserve">rasterio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pyproj</w:t>
      </w:r>
      <w:r>
        <w:t xml:space="preserve">.</w:t>
      </w:r>
    </w:p>
    <w:bookmarkEnd w:id="23"/>
    <w:bookmarkEnd w:id="24"/>
    <w:bookmarkStart w:id="28" w:name="requerimientos-de-instalación"/>
    <w:p>
      <w:pPr>
        <w:pStyle w:val="Heading1"/>
      </w:pPr>
      <w:r>
        <w:t xml:space="preserve">Requerimientos de instalación</w:t>
      </w:r>
    </w:p>
    <w:bookmarkStart w:id="25" w:name="recomendación-general"/>
    <w:p>
      <w:pPr>
        <w:pStyle w:val="Heading2"/>
      </w:pPr>
      <w:r>
        <w:t xml:space="preserve">Recomendación general</w:t>
      </w:r>
    </w:p>
    <w:p>
      <w:pPr>
        <w:pStyle w:val="FirstParagraph"/>
      </w:pPr>
      <w:r>
        <w:t xml:space="preserve">Se recomienda usar un mecanismo de gestión de entorno que permita controlar bien dependencias geoespaciales. El proyecto puede operar con: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venv</w:t>
      </w:r>
      <w:r>
        <w:t xml:space="preserve"> </w:t>
      </w:r>
      <w:r>
        <w:t xml:space="preserve">+ instalación cuidadosa de wheels compatibles, 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mamba</w:t>
      </w:r>
      <w:r>
        <w:t xml:space="preserve"> </w:t>
      </w:r>
      <w:r>
        <w:t xml:space="preserve">si se busca más robustez geoespacial.</w:t>
      </w:r>
    </w:p>
    <w:p>
      <w:pPr>
        <w:pStyle w:val="FirstParagraph"/>
      </w:pPr>
      <w:r>
        <w:t xml:space="preserve">La decisión depende del contexto operativo del proyecto. Para flujos con muchas dependencias geoespaciales, suele ser conveniente priorizar una estrategia que reduzca conflictos binarios.</w:t>
      </w:r>
    </w:p>
    <w:bookmarkEnd w:id="25"/>
    <w:bookmarkStart w:id="26" w:name="requerimiento-de-aislamiento"/>
    <w:p>
      <w:pPr>
        <w:pStyle w:val="Heading2"/>
      </w:pPr>
      <w:r>
        <w:t xml:space="preserve">Requerimiento de aislamiento</w:t>
      </w:r>
    </w:p>
    <w:p>
      <w:pPr>
        <w:pStyle w:val="FirstParagraph"/>
      </w:pPr>
      <w:r>
        <w:t xml:space="preserve">El entorno del proyecto debe estar aislado de:</w:t>
      </w:r>
    </w:p>
    <w:p>
      <w:pPr>
        <w:pStyle w:val="Compact"/>
        <w:numPr>
          <w:ilvl w:val="0"/>
          <w:numId w:val="1016"/>
        </w:numPr>
      </w:pPr>
      <w:r>
        <w:t xml:space="preserve">la instalación global de Python;</w:t>
      </w:r>
    </w:p>
    <w:p>
      <w:pPr>
        <w:pStyle w:val="Compact"/>
        <w:numPr>
          <w:ilvl w:val="0"/>
          <w:numId w:val="1016"/>
        </w:numPr>
      </w:pPr>
      <w:r>
        <w:t xml:space="preserve">otros proyectos con dependencias incompatibles;</w:t>
      </w:r>
    </w:p>
    <w:p>
      <w:pPr>
        <w:pStyle w:val="Compact"/>
        <w:numPr>
          <w:ilvl w:val="0"/>
          <w:numId w:val="1016"/>
        </w:numPr>
      </w:pPr>
      <w:r>
        <w:t xml:space="preserve">bibliotecas geoespaciales de sistema no controladas por el proyecto, cuando eso pueda generar conflictos.</w:t>
      </w:r>
    </w:p>
    <w:bookmarkEnd w:id="26"/>
    <w:bookmarkStart w:id="27" w:name="requerimiento-de-exportación"/>
    <w:p>
      <w:pPr>
        <w:pStyle w:val="Heading2"/>
      </w:pPr>
      <w:r>
        <w:t xml:space="preserve">Requerimiento de exportación</w:t>
      </w:r>
    </w:p>
    <w:p>
      <w:pPr>
        <w:pStyle w:val="FirstParagraph"/>
      </w:pPr>
      <w:r>
        <w:t xml:space="preserve">La configuración del entorno debe poder exportarse en un archivo reproducible, por ejemplo: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pyproject.toml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environment.yml</w:t>
      </w:r>
    </w:p>
    <w:bookmarkEnd w:id="27"/>
    <w:bookmarkEnd w:id="28"/>
    <w:bookmarkStart w:id="29" w:name="requerimientos-para-el-uso-de-parquet"/>
    <w:p>
      <w:pPr>
        <w:pStyle w:val="Heading1"/>
      </w:pPr>
      <w:r>
        <w:t xml:space="preserve">Requerimientos para el uso de Parquet</w:t>
      </w:r>
    </w:p>
    <w:p>
      <w:pPr>
        <w:pStyle w:val="FirstParagraph"/>
      </w:pPr>
      <w:r>
        <w:t xml:space="preserve">Dado que se propone adoptar</w:t>
      </w:r>
      <w:r>
        <w:t xml:space="preserve"> </w:t>
      </w:r>
      <w:r>
        <w:rPr>
          <w:b/>
          <w:bCs/>
        </w:rPr>
        <w:t xml:space="preserve">Parquet</w:t>
      </w:r>
      <w:r>
        <w:t xml:space="preserve"> </w:t>
      </w:r>
      <w:r>
        <w:t xml:space="preserve">como tecnología base de serialización tabular, el entorno debe garantizar:</w:t>
      </w:r>
    </w:p>
    <w:p>
      <w:pPr>
        <w:pStyle w:val="Compact"/>
        <w:numPr>
          <w:ilvl w:val="0"/>
          <w:numId w:val="1018"/>
        </w:numPr>
      </w:pPr>
      <w:r>
        <w:t xml:space="preserve">disponibilidad de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lectura y escritura confiable desde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capacidad de trabajar con tablas particionadas por región o variable si el workflow evoluciona hacia esa estrategia.</w:t>
      </w:r>
    </w:p>
    <w:bookmarkEnd w:id="29"/>
    <w:bookmarkStart w:id="30" w:name="requerimientos-para-snakemake"/>
    <w:p>
      <w:pPr>
        <w:pStyle w:val="Heading1"/>
      </w:pPr>
      <w:r>
        <w:t xml:space="preserve">Requerimientos para Snakemake</w:t>
      </w:r>
    </w:p>
    <w:p>
      <w:pPr>
        <w:pStyle w:val="FirstParagraph"/>
      </w:pPr>
      <w:r>
        <w:t xml:space="preserve">El entorno debe permitir:</w:t>
      </w:r>
    </w:p>
    <w:p>
      <w:pPr>
        <w:pStyle w:val="Compact"/>
        <w:numPr>
          <w:ilvl w:val="0"/>
          <w:numId w:val="1019"/>
        </w:numPr>
      </w:pPr>
      <w:r>
        <w:t xml:space="preserve">ejecutar reglas locales;</w:t>
      </w:r>
    </w:p>
    <w:p>
      <w:pPr>
        <w:pStyle w:val="Compact"/>
        <w:numPr>
          <w:ilvl w:val="0"/>
          <w:numId w:val="1019"/>
        </w:numPr>
      </w:pPr>
      <w:r>
        <w:t xml:space="preserve">resolver dependencias entre scripts;</w:t>
      </w:r>
    </w:p>
    <w:p>
      <w:pPr>
        <w:pStyle w:val="Compact"/>
        <w:numPr>
          <w:ilvl w:val="0"/>
          <w:numId w:val="1019"/>
        </w:numPr>
      </w:pPr>
      <w:r>
        <w:t xml:space="preserve">parametrizar rutas;</w:t>
      </w:r>
    </w:p>
    <w:p>
      <w:pPr>
        <w:pStyle w:val="Compact"/>
        <w:numPr>
          <w:ilvl w:val="0"/>
          <w:numId w:val="1019"/>
        </w:numPr>
      </w:pPr>
      <w:r>
        <w:t xml:space="preserve">reiniciar pasos fallidos;</w:t>
      </w:r>
    </w:p>
    <w:p>
      <w:pPr>
        <w:pStyle w:val="Compact"/>
        <w:numPr>
          <w:ilvl w:val="0"/>
          <w:numId w:val="1019"/>
        </w:numPr>
      </w:pPr>
      <w:r>
        <w:t xml:space="preserve">paralelizar ramas cuando sea posible.</w:t>
      </w:r>
    </w:p>
    <w:p>
      <w:pPr>
        <w:pStyle w:val="FirstParagraph"/>
      </w:pPr>
      <w:r>
        <w:t xml:space="preserve">Además, la configuración del workflow debe poder convivir con el entorno geoespacial sin romper compatibilidades.</w:t>
      </w:r>
    </w:p>
    <w:bookmarkEnd w:id="30"/>
    <w:bookmarkStart w:id="31" w:name="requerimientos-para-pytest"/>
    <w:p>
      <w:pPr>
        <w:pStyle w:val="Heading1"/>
      </w:pPr>
      <w:r>
        <w:t xml:space="preserve">Requerimientos para pytest</w:t>
      </w:r>
    </w:p>
    <w:p>
      <w:pPr>
        <w:pStyle w:val="FirstParagraph"/>
      </w:pPr>
      <w:r>
        <w:t xml:space="preserve">El entorno debe incluir soporte para correr:</w:t>
      </w:r>
    </w:p>
    <w:p>
      <w:pPr>
        <w:pStyle w:val="Compact"/>
        <w:numPr>
          <w:ilvl w:val="0"/>
          <w:numId w:val="1020"/>
        </w:numPr>
      </w:pPr>
      <w:r>
        <w:t xml:space="preserve">pruebas unitarias;</w:t>
      </w:r>
    </w:p>
    <w:p>
      <w:pPr>
        <w:pStyle w:val="Compact"/>
        <w:numPr>
          <w:ilvl w:val="0"/>
          <w:numId w:val="1020"/>
        </w:numPr>
      </w:pPr>
      <w:r>
        <w:t xml:space="preserve">pruebas de integración;</w:t>
      </w:r>
    </w:p>
    <w:p>
      <w:pPr>
        <w:pStyle w:val="Compact"/>
        <w:numPr>
          <w:ilvl w:val="0"/>
          <w:numId w:val="1020"/>
        </w:numPr>
      </w:pPr>
      <w:r>
        <w:t xml:space="preserve">pruebas smoke del workflow.</w:t>
      </w:r>
    </w:p>
    <w:p>
      <w:pPr>
        <w:pStyle w:val="FirstParagraph"/>
      </w:pPr>
      <w:r>
        <w:t xml:space="preserve">Las pruebas deben poder ejecutarse desde línea de comandos sin configuración manual adicional del intérprete.</w:t>
      </w:r>
    </w:p>
    <w:bookmarkEnd w:id="31"/>
    <w:bookmarkStart w:id="32" w:name="requerimientos-de-validación-del-entorno"/>
    <w:p>
      <w:pPr>
        <w:pStyle w:val="Heading1"/>
      </w:pPr>
      <w:r>
        <w:t xml:space="preserve">Requerimientos de validación del entorno</w:t>
      </w:r>
    </w:p>
    <w:p>
      <w:pPr>
        <w:pStyle w:val="FirstParagraph"/>
      </w:pPr>
      <w:r>
        <w:t xml:space="preserve">Antes de considerar operativo el entorno virtual, debe validarse que puede:</w:t>
      </w:r>
    </w:p>
    <w:p>
      <w:pPr>
        <w:pStyle w:val="Compact"/>
        <w:numPr>
          <w:ilvl w:val="0"/>
          <w:numId w:val="1021"/>
        </w:numPr>
      </w:pPr>
      <w:r>
        <w:t xml:space="preserve">importar correctamente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rasterio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snakemake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leer al menos un insumo vectorial;</w:t>
      </w:r>
    </w:p>
    <w:p>
      <w:pPr>
        <w:pStyle w:val="Compact"/>
        <w:numPr>
          <w:ilvl w:val="0"/>
          <w:numId w:val="1021"/>
        </w:numPr>
      </w:pPr>
      <w:r>
        <w:t xml:space="preserve">leer al menos un raster;</w:t>
      </w:r>
    </w:p>
    <w:p>
      <w:pPr>
        <w:pStyle w:val="Compact"/>
        <w:numPr>
          <w:ilvl w:val="0"/>
          <w:numId w:val="1021"/>
        </w:numPr>
      </w:pPr>
      <w:r>
        <w:t xml:space="preserve">escribir un archivo Parquet;</w:t>
      </w:r>
    </w:p>
    <w:p>
      <w:pPr>
        <w:pStyle w:val="Compact"/>
        <w:numPr>
          <w:ilvl w:val="0"/>
          <w:numId w:val="1021"/>
        </w:numPr>
      </w:pPr>
      <w:r>
        <w:t xml:space="preserve">ejecutar una prueba simple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correr al menos una regla mínima de Snakemake.</w:t>
      </w:r>
    </w:p>
    <w:bookmarkEnd w:id="32"/>
    <w:bookmarkStart w:id="33" w:name="Xf1aa2aff8ada82e81fdc27d122b324b512af626"/>
    <w:p>
      <w:pPr>
        <w:pStyle w:val="Heading1"/>
      </w:pPr>
      <w:r>
        <w:t xml:space="preserve">Requerimientos de estructura del proyecto</w:t>
      </w:r>
    </w:p>
    <w:p>
      <w:pPr>
        <w:pStyle w:val="FirstParagraph"/>
      </w:pPr>
      <w:r>
        <w:t xml:space="preserve">El entorno debe ser compatible con una estructura de proyecto donde existan al menos:</w:t>
      </w:r>
    </w:p>
    <w:p>
      <w:pPr>
        <w:pStyle w:val="Compact"/>
        <w:numPr>
          <w:ilvl w:val="0"/>
          <w:numId w:val="1022"/>
        </w:numPr>
      </w:pPr>
      <w:r>
        <w:t xml:space="preserve">scripts Python del workflow;</w:t>
      </w:r>
    </w:p>
    <w:p>
      <w:pPr>
        <w:pStyle w:val="Compact"/>
        <w:numPr>
          <w:ilvl w:val="0"/>
          <w:numId w:val="1022"/>
        </w:numPr>
      </w:pPr>
      <w:r>
        <w:t xml:space="preserve">reglas Snakemake;</w:t>
      </w:r>
    </w:p>
    <w:p>
      <w:pPr>
        <w:pStyle w:val="Compact"/>
        <w:numPr>
          <w:ilvl w:val="0"/>
          <w:numId w:val="1022"/>
        </w:numPr>
      </w:pPr>
      <w:r>
        <w:t xml:space="preserve">archivos de configuración;</w:t>
      </w:r>
    </w:p>
    <w:p>
      <w:pPr>
        <w:pStyle w:val="Compact"/>
        <w:numPr>
          <w:ilvl w:val="0"/>
          <w:numId w:val="1022"/>
        </w:numPr>
      </w:pPr>
      <w:r>
        <w:t xml:space="preserve">carpeta de pruebas;</w:t>
      </w:r>
    </w:p>
    <w:p>
      <w:pPr>
        <w:pStyle w:val="Compact"/>
        <w:numPr>
          <w:ilvl w:val="0"/>
          <w:numId w:val="1022"/>
        </w:numPr>
      </w:pPr>
      <w:r>
        <w:t xml:space="preserve">carpetas de salida para rasters, tablas y productos finales.</w:t>
      </w:r>
    </w:p>
    <w:bookmarkEnd w:id="33"/>
    <w:bookmarkStart w:id="34" w:name="requerimientos-de-mantenimiento"/>
    <w:p>
      <w:pPr>
        <w:pStyle w:val="Heading1"/>
      </w:pPr>
      <w:r>
        <w:t xml:space="preserve">Requerimientos de mantenimiento</w:t>
      </w:r>
    </w:p>
    <w:p>
      <w:pPr>
        <w:pStyle w:val="FirstParagraph"/>
      </w:pPr>
      <w:r>
        <w:t xml:space="preserve">El proyecto debe definir una práctica de mantenimiento del entorno que incluya:</w:t>
      </w:r>
    </w:p>
    <w:p>
      <w:pPr>
        <w:pStyle w:val="Compact"/>
        <w:numPr>
          <w:ilvl w:val="0"/>
          <w:numId w:val="1023"/>
        </w:numPr>
      </w:pPr>
      <w:r>
        <w:t xml:space="preserve">actualización controlada de dependencias;</w:t>
      </w:r>
    </w:p>
    <w:p>
      <w:pPr>
        <w:pStyle w:val="Compact"/>
        <w:numPr>
          <w:ilvl w:val="0"/>
          <w:numId w:val="1023"/>
        </w:numPr>
      </w:pPr>
      <w:r>
        <w:t xml:space="preserve">registro de cambios relevantes de versión;</w:t>
      </w:r>
    </w:p>
    <w:p>
      <w:pPr>
        <w:pStyle w:val="Compact"/>
        <w:numPr>
          <w:ilvl w:val="0"/>
          <w:numId w:val="1023"/>
        </w:numPr>
      </w:pPr>
      <w:r>
        <w:t xml:space="preserve">revalidación del workflow después de cambios mayores;</w:t>
      </w:r>
    </w:p>
    <w:p>
      <w:pPr>
        <w:pStyle w:val="Compact"/>
        <w:numPr>
          <w:ilvl w:val="0"/>
          <w:numId w:val="1023"/>
        </w:numPr>
      </w:pPr>
      <w:r>
        <w:t xml:space="preserve">conservación de una configuración estable para corridas formales.</w:t>
      </w:r>
    </w:p>
    <w:bookmarkEnd w:id="34"/>
    <w:bookmarkStart w:id="35" w:name="requerimientos-de-portabilidad"/>
    <w:p>
      <w:pPr>
        <w:pStyle w:val="Heading1"/>
      </w:pPr>
      <w:r>
        <w:t xml:space="preserve">Requerimientos de portabilidad</w:t>
      </w:r>
    </w:p>
    <w:p>
      <w:pPr>
        <w:pStyle w:val="FirstParagraph"/>
      </w:pPr>
      <w:r>
        <w:t xml:space="preserve">El entorno debe ser portable al menos entre máquinas del equipo con configuración comparable, siempre que:</w:t>
      </w:r>
    </w:p>
    <w:p>
      <w:pPr>
        <w:pStyle w:val="Compact"/>
        <w:numPr>
          <w:ilvl w:val="0"/>
          <w:numId w:val="1024"/>
        </w:numPr>
      </w:pPr>
      <w:r>
        <w:t xml:space="preserve">exista acceso a las mismas rutas de datos o a una configuración equivalente;</w:t>
      </w:r>
    </w:p>
    <w:p>
      <w:pPr>
        <w:pStyle w:val="Compact"/>
        <w:numPr>
          <w:ilvl w:val="0"/>
          <w:numId w:val="1024"/>
        </w:numPr>
      </w:pPr>
      <w:r>
        <w:t xml:space="preserve">las dependencias nativas geoespaciales estén correctamente instaladas;</w:t>
      </w:r>
    </w:p>
    <w:p>
      <w:pPr>
        <w:pStyle w:val="Compact"/>
        <w:numPr>
          <w:ilvl w:val="0"/>
          <w:numId w:val="1024"/>
        </w:numPr>
      </w:pPr>
      <w:r>
        <w:t xml:space="preserve">el archivo de definición del entorno esté disponible.</w:t>
      </w:r>
    </w:p>
    <w:bookmarkEnd w:id="35"/>
    <w:bookmarkStart w:id="36" w:name="Xee8975c3939462229b2cc9c5f0377d9d3cb1c04"/>
    <w:p>
      <w:pPr>
        <w:pStyle w:val="Heading1"/>
      </w:pPr>
      <w:r>
        <w:t xml:space="preserve">Criterios de aceptación del entorno virtual</w:t>
      </w:r>
    </w:p>
    <w:p>
      <w:pPr>
        <w:pStyle w:val="FirstParagraph"/>
      </w:pPr>
      <w:r>
        <w:t xml:space="preserve">El entorno virtual se considerará correctamente configurado si cumple lo siguiente:</w:t>
      </w:r>
    </w:p>
    <w:p>
      <w:pPr>
        <w:pStyle w:val="Compact"/>
        <w:numPr>
          <w:ilvl w:val="0"/>
          <w:numId w:val="1025"/>
        </w:numPr>
      </w:pPr>
      <w:r>
        <w:t xml:space="preserve">instala todas las bibliotecas requeridas sin conflictos críticos;</w:t>
      </w:r>
    </w:p>
    <w:p>
      <w:pPr>
        <w:pStyle w:val="Compact"/>
        <w:numPr>
          <w:ilvl w:val="0"/>
          <w:numId w:val="1025"/>
        </w:numPr>
      </w:pPr>
      <w:r>
        <w:t xml:space="preserve">permite ejecutar scripts geoespaciales del proyecto;</w:t>
      </w:r>
    </w:p>
    <w:p>
      <w:pPr>
        <w:pStyle w:val="Compact"/>
        <w:numPr>
          <w:ilvl w:val="0"/>
          <w:numId w:val="1025"/>
        </w:numPr>
      </w:pPr>
      <w:r>
        <w:t xml:space="preserve">permite leer y escribir Parquet;</w:t>
      </w:r>
    </w:p>
    <w:p>
      <w:pPr>
        <w:pStyle w:val="Compact"/>
        <w:numPr>
          <w:ilvl w:val="0"/>
          <w:numId w:val="1025"/>
        </w:numPr>
      </w:pPr>
      <w:r>
        <w:t xml:space="preserve">permite correr Snakemake;</w:t>
      </w:r>
    </w:p>
    <w:p>
      <w:pPr>
        <w:pStyle w:val="Compact"/>
        <w:numPr>
          <w:ilvl w:val="0"/>
          <w:numId w:val="1025"/>
        </w:numPr>
      </w:pPr>
      <w:r>
        <w:t xml:space="preserve">permite correr pytest;</w:t>
      </w:r>
    </w:p>
    <w:p>
      <w:pPr>
        <w:pStyle w:val="Compact"/>
        <w:numPr>
          <w:ilvl w:val="0"/>
          <w:numId w:val="1025"/>
        </w:numPr>
      </w:pPr>
      <w:r>
        <w:t xml:space="preserve">permite generar un producto raster y un producto tabular mínimo del workflow.</w:t>
      </w:r>
    </w:p>
    <w:bookmarkEnd w:id="36"/>
    <w:bookmarkStart w:id="37" w:name="recomendación-operativa"/>
    <w:p>
      <w:pPr>
        <w:pStyle w:val="Heading1"/>
      </w:pPr>
      <w:r>
        <w:t xml:space="preserve">Recomendación operativa</w:t>
      </w:r>
    </w:p>
    <w:p>
      <w:pPr>
        <w:pStyle w:val="FirstParagraph"/>
      </w:pPr>
      <w:r>
        <w:t xml:space="preserve">Se recomienda mantener este documento alineado con:</w:t>
      </w:r>
    </w:p>
    <w:p>
      <w:pPr>
        <w:pStyle w:val="Compact"/>
        <w:numPr>
          <w:ilvl w:val="0"/>
          <w:numId w:val="1026"/>
        </w:numPr>
      </w:pPr>
      <w:r>
        <w:t xml:space="preserve">el archivo real de definición del entorno;</w:t>
      </w:r>
    </w:p>
    <w:p>
      <w:pPr>
        <w:pStyle w:val="Compact"/>
        <w:numPr>
          <w:ilvl w:val="0"/>
          <w:numId w:val="1026"/>
        </w:numPr>
      </w:pPr>
      <w:r>
        <w:t xml:space="preserve">la documentación del workflow;</w:t>
      </w:r>
    </w:p>
    <w:p>
      <w:pPr>
        <w:pStyle w:val="Compact"/>
        <w:numPr>
          <w:ilvl w:val="0"/>
          <w:numId w:val="1026"/>
        </w:numPr>
      </w:pPr>
      <w:r>
        <w:t xml:space="preserve">la batería de pruebas;</w:t>
      </w:r>
    </w:p>
    <w:p>
      <w:pPr>
        <w:pStyle w:val="Compact"/>
        <w:numPr>
          <w:ilvl w:val="0"/>
          <w:numId w:val="1026"/>
        </w:numPr>
      </w:pPr>
      <w:r>
        <w:t xml:space="preserve">la evolución de las dependencias geoespaciales y del motor de inferencia.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para la configuración del entorno virtual</dc:title>
  <dc:creator/>
  <cp:keywords/>
  <dcterms:created xsi:type="dcterms:W3CDTF">2026-06-17T22:21:44Z</dcterms:created>
  <dcterms:modified xsi:type="dcterms:W3CDTF">2026-06-17T22:21:44Z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