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5B336C18" w:rsidR="00BB4A53" w:rsidRDefault="00C56442" w:rsidP="0023389E">
      <w:pPr>
        <w:pStyle w:val="ListParagraph"/>
        <w:numPr>
          <w:ilvl w:val="0"/>
          <w:numId w:val="1"/>
        </w:numPr>
      </w:pPr>
      <w:r>
        <w:t xml:space="preserve">Enose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6CD71FEC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 w:rsidR="00F82971">
          <w:rPr>
            <w:noProof/>
          </w:rPr>
          <w:t>1</w:t>
        </w:r>
      </w:fldSimple>
      <w:r>
        <w:t xml:space="preserve"> PCA scatter plots of enose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>he previous outlier for enose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5EEE5214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Pseudomonias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  <w:r w:rsidR="000D08A1">
        <w:t xml:space="preserve"> </w:t>
      </w:r>
      <w:r w:rsidR="0072792D">
        <w:t>TVC bacteria are slightly more numerous than pseudomonas.</w:t>
      </w:r>
      <w:r w:rsidR="00474D2A">
        <w:t xml:space="preserve"> Also, TVC has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7ED668D7" w:rsidR="00D80056" w:rsidRDefault="00D80056">
      <w:r>
        <w:br w:type="page"/>
      </w:r>
    </w:p>
    <w:p w14:paraId="0280FE24" w14:textId="788C46D1" w:rsidR="00F677AA" w:rsidRDefault="00E768A9" w:rsidP="00E768A9">
      <w:pPr>
        <w:pStyle w:val="Subtitle"/>
      </w:pPr>
      <w:r>
        <w:lastRenderedPageBreak/>
        <w:t>Classification</w:t>
      </w:r>
    </w:p>
    <w:p w14:paraId="3885B411" w14:textId="0C34526A" w:rsidR="00E768A9" w:rsidRDefault="007A2925" w:rsidP="00E768A9">
      <w:r>
        <w:t>We partition the data using the function createDataPartition</w:t>
      </w:r>
      <w:r w:rsidR="008202F8">
        <w:t>, that ensure a balanced representation of our train and test sets.</w:t>
      </w:r>
      <w:r w:rsidR="00602B66">
        <w:t xml:space="preserve"> We make the partition reproducible by using the function “seed”</w:t>
      </w:r>
      <w:r w:rsidR="00CE2F46">
        <w:t xml:space="preserve"> and use the created index to create </w:t>
      </w:r>
      <w:r w:rsidR="002823CF">
        <w:t>the</w:t>
      </w:r>
      <w:r w:rsidR="00CE2F46">
        <w:t xml:space="preserve"> datasets</w:t>
      </w:r>
      <w:r w:rsidR="00602B66">
        <w:t>.</w:t>
      </w:r>
    </w:p>
    <w:p w14:paraId="4E4A6AC6" w14:textId="448A5FE7" w:rsidR="008E6CA0" w:rsidRDefault="00527DF3" w:rsidP="00E768A9">
      <w:r>
        <w:t xml:space="preserve">We first train the model using k nearest </w:t>
      </w:r>
      <w:r w:rsidR="00F20270">
        <w:t>neighbour</w:t>
      </w:r>
      <w:r>
        <w:t xml:space="preserve"> methods.</w:t>
      </w:r>
      <w:r w:rsidR="00871CB4">
        <w:t xml:space="preserve"> We want to find the best fit and k parameter</w:t>
      </w:r>
      <w:r w:rsidR="00B17F99">
        <w:t>.</w:t>
      </w:r>
      <w:r w:rsidR="0024471D">
        <w:t xml:space="preserve"> </w:t>
      </w:r>
      <w:r w:rsidR="0089480E">
        <w:t xml:space="preserve">To find the best model, </w:t>
      </w:r>
      <w:r w:rsidR="001941DD">
        <w:t>we test different methods of scaling (center, auto scale and range scale)</w:t>
      </w:r>
      <w:r w:rsidR="00210BC8">
        <w:t>, for different values of k</w:t>
      </w:r>
      <w:r w:rsidR="00CC4ADA">
        <w:t xml:space="preserve"> (from 1 to 20</w:t>
      </w:r>
      <w:r w:rsidR="00B4562E">
        <w:t>).</w:t>
      </w:r>
      <w:r w:rsidR="00BF535B">
        <w:t xml:space="preserve"> We evaluate the accuracy of the model </w:t>
      </w:r>
      <w:r w:rsidR="003E2FE6">
        <w:t xml:space="preserve">for each of </w:t>
      </w:r>
      <w:r w:rsidR="00CC1894">
        <w:t xml:space="preserve">those scales and k values and </w:t>
      </w:r>
      <w:r w:rsidR="00076AEF">
        <w:t>we select the parameters leading to the best accuracy</w:t>
      </w:r>
      <w:r w:rsidR="00902604">
        <w:t>.</w:t>
      </w:r>
    </w:p>
    <w:p w14:paraId="528623A4" w14:textId="21037BC1" w:rsidR="00124640" w:rsidRDefault="00936A22" w:rsidP="000A4DAC">
      <w:r>
        <w:t>For HPLC data</w:t>
      </w:r>
      <w:r w:rsidR="00C97E5F">
        <w:t>, the results are the following</w:t>
      </w:r>
      <w:r w:rsidR="004710CD">
        <w:t xml:space="preserve"> with one partition</w:t>
      </w:r>
      <w:r w:rsidR="00C97E5F">
        <w:t>.</w:t>
      </w:r>
      <w:r w:rsidR="001F67B5">
        <w:t xml:space="preserve"> </w:t>
      </w:r>
      <w:r w:rsidR="00E809F7">
        <w:t>Without scaling, the best accuracy</w:t>
      </w:r>
      <w:r w:rsidR="003768EC">
        <w:t xml:space="preserve"> is 0.</w:t>
      </w:r>
      <w:r w:rsidR="00675887">
        <w:t>9</w:t>
      </w:r>
      <w:r w:rsidR="005E6481">
        <w:t xml:space="preserve"> for k =</w:t>
      </w:r>
      <w:r w:rsidR="00EA603F">
        <w:t>7</w:t>
      </w:r>
      <w:r w:rsidR="005E6481">
        <w:t xml:space="preserve">. </w:t>
      </w:r>
      <w:r w:rsidR="002C0D18">
        <w:t>With scaling</w:t>
      </w:r>
      <w:r w:rsidR="00A549D8">
        <w:t xml:space="preserve">, the best combination is </w:t>
      </w:r>
      <w:r w:rsidR="003C3114">
        <w:t>no scaling</w:t>
      </w:r>
      <w:r w:rsidR="00E319F1">
        <w:t xml:space="preserve"> with various k values</w:t>
      </w:r>
      <w:r w:rsidR="006E2CC7">
        <w:t xml:space="preserve"> (different k give the same accuracy</w:t>
      </w:r>
      <w:r w:rsidR="00337CA5">
        <w:t>, we choose k =</w:t>
      </w:r>
      <w:r w:rsidR="00407CEC">
        <w:t xml:space="preserve"> </w:t>
      </w:r>
      <w:r w:rsidR="00370E75">
        <w:t>7</w:t>
      </w:r>
      <w:r w:rsidR="00B56CB2">
        <w:t>)</w:t>
      </w:r>
      <w:r w:rsidR="00407CEC">
        <w:t>.</w:t>
      </w:r>
      <w:r w:rsidR="00B56CB2">
        <w:t xml:space="preserve"> Scaling</w:t>
      </w:r>
      <w:r w:rsidR="009A2C0F">
        <w:t xml:space="preserve"> was not necessary here</w:t>
      </w:r>
      <w:r w:rsidR="00B53166">
        <w:t>.</w:t>
      </w:r>
      <w:r w:rsidR="00593B3D">
        <w:t xml:space="preserve"> Our tunned model is thus: no scaling, k=7.</w:t>
      </w:r>
    </w:p>
    <w:p w14:paraId="683DC97B" w14:textId="1D26846E" w:rsidR="00F82971" w:rsidRDefault="00F82971" w:rsidP="00F8297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Cross table for HPLC data, 1 iteration, k = 7, no scaling</w:t>
      </w:r>
    </w:p>
    <w:p w14:paraId="1DAF672B" w14:textId="2873718F" w:rsidR="00F87E2F" w:rsidRDefault="00F87E2F" w:rsidP="00F82971">
      <w:pPr>
        <w:jc w:val="center"/>
      </w:pPr>
      <w:r w:rsidRPr="00F87E2F">
        <w:drawing>
          <wp:inline distT="0" distB="0" distL="0" distR="0" wp14:anchorId="6FD832C5" wp14:editId="03BB1FEE">
            <wp:extent cx="3129498" cy="1152973"/>
            <wp:effectExtent l="0" t="0" r="0" b="9525"/>
            <wp:docPr id="11" name="Picture 1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678" cy="11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81A" w14:textId="062B7FC6" w:rsidR="00B001F2" w:rsidRPr="00E768A9" w:rsidRDefault="00593B3D" w:rsidP="000A4DAC">
      <w:r>
        <w:t xml:space="preserve">We use </w:t>
      </w:r>
      <w:r w:rsidR="00124640">
        <w:t>the previous model</w:t>
      </w:r>
      <w:r w:rsidR="006B6711">
        <w:t xml:space="preserve"> on 100 iterations</w:t>
      </w:r>
      <w:r w:rsidR="002A19EF">
        <w:t>.</w:t>
      </w:r>
    </w:p>
    <w:sectPr w:rsidR="00B001F2" w:rsidRPr="00E768A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A8B6" w14:textId="77777777" w:rsidR="0075177C" w:rsidRDefault="0075177C" w:rsidP="00927469">
      <w:pPr>
        <w:spacing w:after="0" w:line="240" w:lineRule="auto"/>
      </w:pPr>
      <w:r>
        <w:separator/>
      </w:r>
    </w:p>
  </w:endnote>
  <w:endnote w:type="continuationSeparator" w:id="0">
    <w:p w14:paraId="79FF248F" w14:textId="77777777" w:rsidR="0075177C" w:rsidRDefault="0075177C" w:rsidP="00927469">
      <w:pPr>
        <w:spacing w:after="0" w:line="240" w:lineRule="auto"/>
      </w:pPr>
      <w:r>
        <w:continuationSeparator/>
      </w:r>
    </w:p>
  </w:endnote>
  <w:endnote w:type="continuationNotice" w:id="1">
    <w:p w14:paraId="1379FED1" w14:textId="77777777" w:rsidR="0075177C" w:rsidRDefault="007517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FD05" w14:textId="77777777" w:rsidR="0075177C" w:rsidRDefault="0075177C" w:rsidP="00927469">
      <w:pPr>
        <w:spacing w:after="0" w:line="240" w:lineRule="auto"/>
      </w:pPr>
      <w:r>
        <w:separator/>
      </w:r>
    </w:p>
  </w:footnote>
  <w:footnote w:type="continuationSeparator" w:id="0">
    <w:p w14:paraId="29EA6D78" w14:textId="77777777" w:rsidR="0075177C" w:rsidRDefault="0075177C" w:rsidP="00927469">
      <w:pPr>
        <w:spacing w:after="0" w:line="240" w:lineRule="auto"/>
      </w:pPr>
      <w:r>
        <w:continuationSeparator/>
      </w:r>
    </w:p>
  </w:footnote>
  <w:footnote w:type="continuationNotice" w:id="1">
    <w:p w14:paraId="56693627" w14:textId="77777777" w:rsidR="0075177C" w:rsidRDefault="007517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16A5"/>
    <w:rsid w:val="00054F5A"/>
    <w:rsid w:val="00073EE6"/>
    <w:rsid w:val="00076AEF"/>
    <w:rsid w:val="0008193E"/>
    <w:rsid w:val="00081C1F"/>
    <w:rsid w:val="00084AEA"/>
    <w:rsid w:val="000A4DAC"/>
    <w:rsid w:val="000B05BE"/>
    <w:rsid w:val="000B6539"/>
    <w:rsid w:val="000C68F1"/>
    <w:rsid w:val="000D08A1"/>
    <w:rsid w:val="000D775F"/>
    <w:rsid w:val="000F2993"/>
    <w:rsid w:val="000F348C"/>
    <w:rsid w:val="000F57B6"/>
    <w:rsid w:val="000F7C45"/>
    <w:rsid w:val="00124640"/>
    <w:rsid w:val="0014354E"/>
    <w:rsid w:val="00145460"/>
    <w:rsid w:val="001716D2"/>
    <w:rsid w:val="001941DD"/>
    <w:rsid w:val="001A4C60"/>
    <w:rsid w:val="001B6CD9"/>
    <w:rsid w:val="001C13A3"/>
    <w:rsid w:val="001E0962"/>
    <w:rsid w:val="001F67B5"/>
    <w:rsid w:val="002043D5"/>
    <w:rsid w:val="00210BC8"/>
    <w:rsid w:val="0023389E"/>
    <w:rsid w:val="00240CC2"/>
    <w:rsid w:val="0024471D"/>
    <w:rsid w:val="002470D6"/>
    <w:rsid w:val="0026510D"/>
    <w:rsid w:val="00280BD1"/>
    <w:rsid w:val="002823CF"/>
    <w:rsid w:val="00283742"/>
    <w:rsid w:val="00293529"/>
    <w:rsid w:val="002A19EF"/>
    <w:rsid w:val="002B1A34"/>
    <w:rsid w:val="002C0D18"/>
    <w:rsid w:val="002D1CDD"/>
    <w:rsid w:val="002E419A"/>
    <w:rsid w:val="002E6F5A"/>
    <w:rsid w:val="00337CA5"/>
    <w:rsid w:val="00354503"/>
    <w:rsid w:val="00370E75"/>
    <w:rsid w:val="003768EC"/>
    <w:rsid w:val="003979BC"/>
    <w:rsid w:val="003C154B"/>
    <w:rsid w:val="003C3114"/>
    <w:rsid w:val="003E2FE6"/>
    <w:rsid w:val="003F2099"/>
    <w:rsid w:val="00407CEC"/>
    <w:rsid w:val="00413C6A"/>
    <w:rsid w:val="0041602A"/>
    <w:rsid w:val="004710CD"/>
    <w:rsid w:val="00474D2A"/>
    <w:rsid w:val="004838C6"/>
    <w:rsid w:val="004A1D19"/>
    <w:rsid w:val="004B757A"/>
    <w:rsid w:val="004C6A64"/>
    <w:rsid w:val="004D3372"/>
    <w:rsid w:val="004F7D5C"/>
    <w:rsid w:val="00527DF3"/>
    <w:rsid w:val="00553085"/>
    <w:rsid w:val="00562A59"/>
    <w:rsid w:val="005771F1"/>
    <w:rsid w:val="00577207"/>
    <w:rsid w:val="00593B3D"/>
    <w:rsid w:val="0059750F"/>
    <w:rsid w:val="005D5781"/>
    <w:rsid w:val="005D5D20"/>
    <w:rsid w:val="005E6481"/>
    <w:rsid w:val="00602B66"/>
    <w:rsid w:val="0061038E"/>
    <w:rsid w:val="00646F83"/>
    <w:rsid w:val="0066199E"/>
    <w:rsid w:val="006650A9"/>
    <w:rsid w:val="0066537D"/>
    <w:rsid w:val="00675887"/>
    <w:rsid w:val="00684CBE"/>
    <w:rsid w:val="006916CC"/>
    <w:rsid w:val="006B6711"/>
    <w:rsid w:val="006D2CD5"/>
    <w:rsid w:val="006E2CC7"/>
    <w:rsid w:val="00701F7C"/>
    <w:rsid w:val="00704E36"/>
    <w:rsid w:val="0072792D"/>
    <w:rsid w:val="00727AFE"/>
    <w:rsid w:val="00750514"/>
    <w:rsid w:val="0075177C"/>
    <w:rsid w:val="007560CA"/>
    <w:rsid w:val="007912CC"/>
    <w:rsid w:val="007A2925"/>
    <w:rsid w:val="007A295A"/>
    <w:rsid w:val="007C1946"/>
    <w:rsid w:val="008202F8"/>
    <w:rsid w:val="008246F1"/>
    <w:rsid w:val="0086550A"/>
    <w:rsid w:val="00871CB4"/>
    <w:rsid w:val="0089480E"/>
    <w:rsid w:val="00894A70"/>
    <w:rsid w:val="008E6CA0"/>
    <w:rsid w:val="008F1391"/>
    <w:rsid w:val="00902604"/>
    <w:rsid w:val="00907AC9"/>
    <w:rsid w:val="0091470E"/>
    <w:rsid w:val="00924F06"/>
    <w:rsid w:val="00925500"/>
    <w:rsid w:val="00927469"/>
    <w:rsid w:val="0093194D"/>
    <w:rsid w:val="00936A22"/>
    <w:rsid w:val="00965EC9"/>
    <w:rsid w:val="009732A4"/>
    <w:rsid w:val="009A2C0F"/>
    <w:rsid w:val="009B1468"/>
    <w:rsid w:val="009F5A05"/>
    <w:rsid w:val="00A2689D"/>
    <w:rsid w:val="00A35336"/>
    <w:rsid w:val="00A549D8"/>
    <w:rsid w:val="00A557B4"/>
    <w:rsid w:val="00A666E9"/>
    <w:rsid w:val="00AA69FE"/>
    <w:rsid w:val="00AD103F"/>
    <w:rsid w:val="00AD47ED"/>
    <w:rsid w:val="00B001F2"/>
    <w:rsid w:val="00B03B04"/>
    <w:rsid w:val="00B071A1"/>
    <w:rsid w:val="00B17F99"/>
    <w:rsid w:val="00B20900"/>
    <w:rsid w:val="00B32184"/>
    <w:rsid w:val="00B40292"/>
    <w:rsid w:val="00B4562E"/>
    <w:rsid w:val="00B53166"/>
    <w:rsid w:val="00B56CB2"/>
    <w:rsid w:val="00B6548D"/>
    <w:rsid w:val="00B7188F"/>
    <w:rsid w:val="00B82208"/>
    <w:rsid w:val="00BB2020"/>
    <w:rsid w:val="00BB4A53"/>
    <w:rsid w:val="00BD071C"/>
    <w:rsid w:val="00BF4DDA"/>
    <w:rsid w:val="00BF535B"/>
    <w:rsid w:val="00C51FC9"/>
    <w:rsid w:val="00C56442"/>
    <w:rsid w:val="00C613DF"/>
    <w:rsid w:val="00C64CEE"/>
    <w:rsid w:val="00C81985"/>
    <w:rsid w:val="00C85EFA"/>
    <w:rsid w:val="00C97E5F"/>
    <w:rsid w:val="00CB35FC"/>
    <w:rsid w:val="00CC1894"/>
    <w:rsid w:val="00CC3D9E"/>
    <w:rsid w:val="00CC4ADA"/>
    <w:rsid w:val="00CD5B3B"/>
    <w:rsid w:val="00CE2F46"/>
    <w:rsid w:val="00D06081"/>
    <w:rsid w:val="00D31D04"/>
    <w:rsid w:val="00D4229B"/>
    <w:rsid w:val="00D429DB"/>
    <w:rsid w:val="00D80056"/>
    <w:rsid w:val="00D93859"/>
    <w:rsid w:val="00DA2FD0"/>
    <w:rsid w:val="00DC69EF"/>
    <w:rsid w:val="00DD3ECF"/>
    <w:rsid w:val="00E124CD"/>
    <w:rsid w:val="00E319F1"/>
    <w:rsid w:val="00E50598"/>
    <w:rsid w:val="00E61771"/>
    <w:rsid w:val="00E67677"/>
    <w:rsid w:val="00E67B36"/>
    <w:rsid w:val="00E768A9"/>
    <w:rsid w:val="00E809F7"/>
    <w:rsid w:val="00E8301A"/>
    <w:rsid w:val="00E85C7A"/>
    <w:rsid w:val="00E91E24"/>
    <w:rsid w:val="00EA0A91"/>
    <w:rsid w:val="00EA603F"/>
    <w:rsid w:val="00ED4C0A"/>
    <w:rsid w:val="00EE6AFB"/>
    <w:rsid w:val="00F20270"/>
    <w:rsid w:val="00F2231D"/>
    <w:rsid w:val="00F36317"/>
    <w:rsid w:val="00F401D9"/>
    <w:rsid w:val="00F43DD3"/>
    <w:rsid w:val="00F677AA"/>
    <w:rsid w:val="00F82971"/>
    <w:rsid w:val="00F87E2F"/>
    <w:rsid w:val="00FA19F1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144</cp:revision>
  <dcterms:created xsi:type="dcterms:W3CDTF">2022-12-11T18:40:00Z</dcterms:created>
  <dcterms:modified xsi:type="dcterms:W3CDTF">2022-12-13T10:01:00Z</dcterms:modified>
</cp:coreProperties>
</file>