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4F" w:rsidRPr="00552CAD" w:rsidRDefault="00C6174F" w:rsidP="00C6174F">
      <w:pPr>
        <w:pStyle w:val="Titre1"/>
        <w:jc w:val="both"/>
        <w:rPr>
          <w:rFonts w:ascii="Times New Roman" w:hAnsi="Times New Roman"/>
          <w:color w:val="000000"/>
        </w:rPr>
      </w:pPr>
      <w:r w:rsidRPr="00C6174F">
        <w:rPr>
          <w:rFonts w:ascii="Times New Roman" w:hAnsi="Times New Roman"/>
          <w:color w:val="000000"/>
        </w:rPr>
        <w:t>Statistic Test: Analysis of Variance (ANOVA)</w:t>
      </w:r>
    </w:p>
    <w:p w:rsidR="00C6174F" w:rsidRDefault="00C6174F" w:rsidP="00C6174F">
      <w:pPr>
        <w:autoSpaceDE w:val="0"/>
        <w:autoSpaceDN w:val="0"/>
        <w:adjustRightInd w:val="0"/>
        <w:jc w:val="both"/>
        <w:rPr>
          <w:color w:val="000000"/>
        </w:rPr>
      </w:pPr>
    </w:p>
    <w:p w:rsidR="0005302E" w:rsidRPr="00552CAD" w:rsidRDefault="0005302E" w:rsidP="0005302E">
      <w:pPr>
        <w:spacing w:before="56" w:after="113" w:line="274" w:lineRule="atLeast"/>
        <w:jc w:val="both"/>
        <w:rPr>
          <w:color w:val="404040"/>
          <w:u w:val="single"/>
        </w:rPr>
      </w:pPr>
      <w:r w:rsidRPr="00552CAD">
        <w:rPr>
          <w:color w:val="404040"/>
          <w:u w:val="single"/>
        </w:rPr>
        <w:t>Overall Objective of this Study:</w:t>
      </w:r>
    </w:p>
    <w:p w:rsidR="0005302E" w:rsidRPr="00552CAD" w:rsidRDefault="0005302E" w:rsidP="0005302E">
      <w:pPr>
        <w:spacing w:before="56" w:after="113" w:line="274" w:lineRule="atLeast"/>
        <w:jc w:val="both"/>
        <w:rPr>
          <w:color w:val="404040"/>
        </w:rPr>
      </w:pPr>
      <w:r w:rsidRPr="00552CAD">
        <w:rPr>
          <w:color w:val="404040"/>
        </w:rPr>
        <w:t>Is there a significant difference for hours played on average each month between the players of different levels?</w:t>
      </w:r>
    </w:p>
    <w:p w:rsidR="0005302E" w:rsidRPr="00552CAD" w:rsidRDefault="0005302E" w:rsidP="0005302E">
      <w:pPr>
        <w:spacing w:before="56" w:after="113" w:line="274" w:lineRule="atLeast"/>
        <w:jc w:val="both"/>
        <w:rPr>
          <w:color w:val="404040"/>
        </w:rPr>
      </w:pPr>
    </w:p>
    <w:p w:rsidR="0005302E" w:rsidRPr="00552CAD" w:rsidRDefault="0005302E" w:rsidP="0005302E">
      <w:pPr>
        <w:spacing w:before="56" w:after="113" w:line="274" w:lineRule="atLeast"/>
        <w:jc w:val="both"/>
        <w:rPr>
          <w:color w:val="404040"/>
        </w:rPr>
      </w:pPr>
    </w:p>
    <w:p w:rsidR="0005302E" w:rsidRPr="00552CAD" w:rsidRDefault="0005302E" w:rsidP="0005302E">
      <w:pPr>
        <w:spacing w:before="56" w:after="113" w:line="274" w:lineRule="atLeast"/>
        <w:jc w:val="both"/>
        <w:rPr>
          <w:color w:val="404040"/>
        </w:rPr>
      </w:pPr>
      <w:r w:rsidRPr="00552CAD">
        <w:rPr>
          <w:color w:val="404040"/>
        </w:rPr>
        <w:t>The independent variable will be the level of players grouped by bracket. The dependent variable will be HRS1 which contains the number of hours played by month for players who answered the survey.</w:t>
      </w:r>
    </w:p>
    <w:p w:rsidR="0005302E" w:rsidRPr="00552CAD" w:rsidRDefault="0005302E" w:rsidP="0005302E">
      <w:pPr>
        <w:spacing w:before="56" w:after="113" w:line="274" w:lineRule="atLeast"/>
        <w:jc w:val="both"/>
        <w:rPr>
          <w:color w:val="404040"/>
        </w:rPr>
      </w:pPr>
    </w:p>
    <w:p w:rsidR="0005302E" w:rsidRPr="00552CAD" w:rsidRDefault="0005302E" w:rsidP="0005302E">
      <w:pPr>
        <w:spacing w:before="56" w:after="113" w:line="274" w:lineRule="atLeast"/>
        <w:jc w:val="both"/>
        <w:rPr>
          <w:color w:val="404040"/>
          <w:sz w:val="18"/>
          <w:szCs w:val="18"/>
        </w:rPr>
      </w:pPr>
      <w:r w:rsidRPr="00552CAD">
        <w:rPr>
          <w:color w:val="404040"/>
        </w:rPr>
        <w:t> </w:t>
      </w:r>
    </w:p>
    <w:p w:rsidR="0005302E" w:rsidRPr="00552CAD" w:rsidRDefault="0005302E" w:rsidP="0005302E">
      <w:pPr>
        <w:spacing w:before="56" w:after="113" w:line="274" w:lineRule="atLeast"/>
        <w:jc w:val="both"/>
        <w:rPr>
          <w:color w:val="404040"/>
          <w:sz w:val="18"/>
          <w:szCs w:val="18"/>
        </w:rPr>
      </w:pPr>
      <w:r w:rsidRPr="00552CAD">
        <w:rPr>
          <w:b/>
          <w:bCs/>
          <w:color w:val="404040"/>
        </w:rPr>
        <w:t>Descriptive Statistics</w:t>
      </w:r>
    </w:p>
    <w:p w:rsidR="0005302E" w:rsidRPr="00552CAD" w:rsidRDefault="0005302E" w:rsidP="0005302E">
      <w:pPr>
        <w:spacing w:before="56" w:after="113" w:line="274" w:lineRule="atLeast"/>
        <w:jc w:val="both"/>
        <w:rPr>
          <w:color w:val="404040"/>
          <w:sz w:val="18"/>
          <w:szCs w:val="18"/>
        </w:rPr>
      </w:pPr>
      <w:r w:rsidRPr="00552CAD">
        <w:rPr>
          <w:color w:val="404040"/>
        </w:rPr>
        <w:t>First, let’s look at the averages, standard deviation and confidence intervals for each group.</w:t>
      </w:r>
    </w:p>
    <w:tbl>
      <w:tblPr>
        <w:tblW w:w="11455" w:type="dxa"/>
        <w:tblInd w:w="-1357" w:type="dxa"/>
        <w:tblLook w:val="04A0" w:firstRow="1" w:lastRow="0" w:firstColumn="1" w:lastColumn="0" w:noHBand="0" w:noVBand="1"/>
      </w:tblPr>
      <w:tblGrid>
        <w:gridCol w:w="830"/>
        <w:gridCol w:w="640"/>
        <w:gridCol w:w="625"/>
        <w:gridCol w:w="630"/>
        <w:gridCol w:w="810"/>
        <w:gridCol w:w="1543"/>
        <w:gridCol w:w="1173"/>
        <w:gridCol w:w="1350"/>
        <w:gridCol w:w="788"/>
        <w:gridCol w:w="562"/>
        <w:gridCol w:w="1177"/>
        <w:gridCol w:w="1353"/>
      </w:tblGrid>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4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25"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81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52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3311" w:type="dxa"/>
            <w:gridSpan w:val="3"/>
            <w:tcBorders>
              <w:top w:val="nil"/>
              <w:left w:val="nil"/>
              <w:bottom w:val="nil"/>
              <w:right w:val="nil"/>
            </w:tcBorders>
            <w:shd w:val="clear" w:color="000000" w:fill="D9D9D9"/>
            <w:noWrap/>
            <w:vAlign w:val="bottom"/>
            <w:hideMark/>
          </w:tcPr>
          <w:p w:rsidR="0005302E" w:rsidRPr="00552CAD" w:rsidRDefault="0005302E" w:rsidP="0005302E">
            <w:pPr>
              <w:jc w:val="center"/>
              <w:rPr>
                <w:b/>
                <w:bCs/>
                <w:color w:val="000000"/>
              </w:rPr>
            </w:pPr>
            <w:r w:rsidRPr="00552CAD">
              <w:rPr>
                <w:b/>
                <w:bCs/>
                <w:color w:val="000000"/>
              </w:rPr>
              <w:t xml:space="preserve">Descriptives (stats) </w:t>
            </w:r>
            <w:r w:rsidRPr="00552CAD">
              <w:rPr>
                <w:i/>
                <w:iCs/>
                <w:color w:val="000000"/>
              </w:rPr>
              <w:t>hrs1</w:t>
            </w:r>
          </w:p>
        </w:tc>
        <w:tc>
          <w:tcPr>
            <w:tcW w:w="562"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6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35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4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25"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81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52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7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2138" w:type="dxa"/>
            <w:gridSpan w:val="2"/>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562"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6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35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4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25"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81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52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7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27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302E" w:rsidRPr="00552CAD" w:rsidRDefault="0005302E" w:rsidP="0005302E">
            <w:pPr>
              <w:jc w:val="center"/>
              <w:rPr>
                <w:color w:val="000000"/>
              </w:rPr>
            </w:pPr>
            <w:r w:rsidRPr="00552CAD">
              <w:rPr>
                <w:color w:val="000000"/>
              </w:rPr>
              <w:t>95% confidence interval for Mean</w:t>
            </w:r>
          </w:p>
        </w:tc>
        <w:tc>
          <w:tcPr>
            <w:tcW w:w="116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35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Group #</w:t>
            </w:r>
          </w:p>
        </w:tc>
        <w:tc>
          <w:tcPr>
            <w:tcW w:w="12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302E" w:rsidRPr="00552CAD" w:rsidRDefault="0005302E" w:rsidP="0005302E">
            <w:pPr>
              <w:jc w:val="center"/>
              <w:rPr>
                <w:color w:val="000000"/>
              </w:rPr>
            </w:pPr>
            <w:r w:rsidRPr="00552CAD">
              <w:rPr>
                <w:color w:val="000000"/>
              </w:rPr>
              <w:t>Level bounds</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Mean</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Std.Deviation</w:t>
            </w:r>
          </w:p>
        </w:tc>
        <w:tc>
          <w:tcPr>
            <w:tcW w:w="1173"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Std. Error</w:t>
            </w:r>
          </w:p>
        </w:tc>
        <w:tc>
          <w:tcPr>
            <w:tcW w:w="135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Lower Bound</w:t>
            </w:r>
          </w:p>
        </w:tc>
        <w:tc>
          <w:tcPr>
            <w:tcW w:w="1350" w:type="dxa"/>
            <w:gridSpan w:val="2"/>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Upper Bound</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Minimum</w:t>
            </w:r>
          </w:p>
        </w:tc>
        <w:tc>
          <w:tcPr>
            <w:tcW w:w="1353"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Maximum</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0</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95</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36.82</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14.257</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1.463</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33.92</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39.73</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5</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87</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1</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11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20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463</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42.20</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13.041</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0.606</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41.01</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43.39</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3</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2</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21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30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75</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41.97</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13.776</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1.591</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38.80</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45.14</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4</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80</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3</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31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40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191</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44.28</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14.075</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1.018</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42.27</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46.29</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5</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w:t>
            </w:r>
          </w:p>
        </w:tc>
      </w:tr>
      <w:tr w:rsidR="0005302E" w:rsidRPr="00552CAD" w:rsidTr="0005302E">
        <w:trPr>
          <w:trHeight w:val="3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4</w:t>
            </w:r>
          </w:p>
        </w:tc>
        <w:tc>
          <w:tcPr>
            <w:tcW w:w="640" w:type="dxa"/>
            <w:tcBorders>
              <w:top w:val="nil"/>
              <w:left w:val="nil"/>
              <w:bottom w:val="single" w:sz="4" w:space="0" w:color="auto"/>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41</w:t>
            </w:r>
          </w:p>
        </w:tc>
        <w:tc>
          <w:tcPr>
            <w:tcW w:w="625"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50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80</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47.29</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14.185</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1.586</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44.13</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50.44</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6</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80</w:t>
            </w:r>
          </w:p>
        </w:tc>
      </w:tr>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6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302E" w:rsidRPr="00552CAD" w:rsidRDefault="0005302E" w:rsidP="0005302E">
            <w:pPr>
              <w:jc w:val="center"/>
              <w:rPr>
                <w:color w:val="000000"/>
              </w:rPr>
            </w:pPr>
            <w:r w:rsidRPr="00552CAD">
              <w:rPr>
                <w:color w:val="000000"/>
              </w:rPr>
              <w:t>Total</w:t>
            </w:r>
          </w:p>
        </w:tc>
        <w:tc>
          <w:tcPr>
            <w:tcW w:w="63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904</w:t>
            </w:r>
          </w:p>
        </w:tc>
        <w:tc>
          <w:tcPr>
            <w:tcW w:w="81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42.50</w:t>
            </w:r>
          </w:p>
        </w:tc>
        <w:tc>
          <w:tcPr>
            <w:tcW w:w="1527"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13.754</w:t>
            </w:r>
          </w:p>
        </w:tc>
        <w:tc>
          <w:tcPr>
            <w:tcW w:w="1173"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0.457</w:t>
            </w:r>
          </w:p>
        </w:tc>
        <w:tc>
          <w:tcPr>
            <w:tcW w:w="135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41.61</w:t>
            </w:r>
          </w:p>
        </w:tc>
        <w:tc>
          <w:tcPr>
            <w:tcW w:w="1350" w:type="dxa"/>
            <w:gridSpan w:val="2"/>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43.40</w:t>
            </w:r>
          </w:p>
        </w:tc>
        <w:tc>
          <w:tcPr>
            <w:tcW w:w="1167"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w:t>
            </w:r>
          </w:p>
        </w:tc>
        <w:tc>
          <w:tcPr>
            <w:tcW w:w="1353"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w:t>
            </w:r>
          </w:p>
        </w:tc>
      </w:tr>
    </w:tbl>
    <w:p w:rsidR="0005302E" w:rsidRPr="00552CAD" w:rsidRDefault="0005302E" w:rsidP="0005302E">
      <w:pPr>
        <w:spacing w:before="56" w:after="113" w:line="274" w:lineRule="atLeast"/>
        <w:jc w:val="center"/>
        <w:rPr>
          <w:color w:val="404040"/>
          <w:sz w:val="18"/>
          <w:szCs w:val="18"/>
        </w:rPr>
      </w:pPr>
      <w:r w:rsidRPr="00552CAD">
        <w:rPr>
          <w:color w:val="404040"/>
        </w:rPr>
        <w:t> </w:t>
      </w:r>
    </w:p>
    <w:p w:rsidR="0005302E" w:rsidRPr="00C6174F" w:rsidRDefault="0005302E" w:rsidP="0005302E">
      <w:pPr>
        <w:pStyle w:val="Paragraphedeliste"/>
        <w:numPr>
          <w:ilvl w:val="0"/>
          <w:numId w:val="21"/>
        </w:numPr>
        <w:spacing w:before="56" w:after="113" w:line="274" w:lineRule="atLeast"/>
        <w:rPr>
          <w:b/>
        </w:rPr>
      </w:pPr>
      <w:r w:rsidRPr="00C6174F">
        <w:rPr>
          <w:b/>
        </w:rPr>
        <w:t>Please interpret this table.</w:t>
      </w:r>
    </w:p>
    <w:p w:rsidR="0005302E" w:rsidRPr="00552CAD" w:rsidRDefault="0005302E" w:rsidP="0005302E">
      <w:pPr>
        <w:spacing w:before="56" w:after="113" w:line="274" w:lineRule="atLeast"/>
        <w:jc w:val="both"/>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Default="0005302E" w:rsidP="0005302E">
            <w:pPr>
              <w:rPr>
                <w:b/>
                <w:bCs/>
                <w:color w:val="000000"/>
              </w:rPr>
            </w:pPr>
            <w:r>
              <w:rPr>
                <w:b/>
                <w:bCs/>
                <w:color w:val="000000"/>
              </w:rPr>
              <w:t>The table has 5 population groups each with its own mean and std deviation. Mean of group0 appears to be less than average mean of the groups and mean of group5 also appears to be higher. Group0 also has less std deviation than the other</w:t>
            </w:r>
          </w:p>
          <w:p w:rsidR="0005302E" w:rsidRPr="00552CAD" w:rsidRDefault="0005302E" w:rsidP="0005302E">
            <w:pPr>
              <w:rPr>
                <w:b/>
                <w:color w:val="000000"/>
              </w:rPr>
            </w:pPr>
          </w:p>
        </w:tc>
      </w:tr>
    </w:tbl>
    <w:p w:rsidR="0005302E" w:rsidRPr="00552CAD" w:rsidRDefault="0005302E" w:rsidP="0005302E">
      <w:pPr>
        <w:spacing w:before="56" w:after="113" w:line="274" w:lineRule="atLeast"/>
        <w:jc w:val="both"/>
      </w:pPr>
    </w:p>
    <w:p w:rsidR="0005302E" w:rsidRPr="00552CAD" w:rsidRDefault="0005302E" w:rsidP="0005302E">
      <w:pPr>
        <w:spacing w:before="56" w:after="113" w:line="274" w:lineRule="atLeast"/>
        <w:jc w:val="both"/>
      </w:pPr>
    </w:p>
    <w:p w:rsidR="0005302E" w:rsidRPr="00552CAD" w:rsidRDefault="0005302E" w:rsidP="0005302E">
      <w:pPr>
        <w:spacing w:before="56" w:after="113" w:line="274" w:lineRule="atLeast"/>
        <w:jc w:val="both"/>
      </w:pPr>
    </w:p>
    <w:p w:rsidR="0005302E" w:rsidRPr="00552CAD" w:rsidRDefault="0005302E" w:rsidP="0005302E">
      <w:pPr>
        <w:spacing w:before="56" w:after="113" w:line="274" w:lineRule="atLeast"/>
        <w:jc w:val="both"/>
      </w:pPr>
      <w:r w:rsidRPr="00552CAD">
        <w:lastRenderedPageBreak/>
        <w:t>To analyze the distribution of HRS1 values per group, we look at the graph of error bars:</w:t>
      </w:r>
    </w:p>
    <w:p w:rsidR="0005302E" w:rsidRPr="00552CAD" w:rsidRDefault="0005302E" w:rsidP="0005302E">
      <w:pPr>
        <w:spacing w:before="56" w:after="113" w:line="274" w:lineRule="atLeast"/>
        <w:jc w:val="center"/>
        <w:rPr>
          <w:color w:val="404040"/>
        </w:rPr>
      </w:pPr>
    </w:p>
    <w:p w:rsidR="0005302E" w:rsidRPr="00552CAD" w:rsidRDefault="0005302E" w:rsidP="0005302E">
      <w:pPr>
        <w:spacing w:before="56" w:after="113" w:line="274" w:lineRule="atLeast"/>
        <w:jc w:val="center"/>
        <w:rPr>
          <w:color w:val="404040"/>
        </w:rPr>
      </w:pPr>
      <w:r w:rsidRPr="00552CAD">
        <w:rPr>
          <w:color w:val="404040"/>
        </w:rPr>
        <w:t> </w:t>
      </w:r>
      <w:r w:rsidRPr="00552CAD">
        <w:rPr>
          <w:noProof/>
          <w:color w:val="404040"/>
          <w:sz w:val="18"/>
          <w:szCs w:val="18"/>
        </w:rPr>
        <w:drawing>
          <wp:inline distT="0" distB="0" distL="0" distR="0" wp14:anchorId="2666F7C9" wp14:editId="573C9044">
            <wp:extent cx="5762625" cy="45529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va10Cust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2625" cy="4552950"/>
                    </a:xfrm>
                    <a:prstGeom prst="rect">
                      <a:avLst/>
                    </a:prstGeom>
                  </pic:spPr>
                </pic:pic>
              </a:graphicData>
            </a:graphic>
          </wp:inline>
        </w:drawing>
      </w:r>
    </w:p>
    <w:p w:rsidR="0005302E" w:rsidRPr="00C6174F" w:rsidRDefault="0005302E" w:rsidP="0005302E">
      <w:pPr>
        <w:pStyle w:val="Paragraphedeliste"/>
        <w:numPr>
          <w:ilvl w:val="0"/>
          <w:numId w:val="21"/>
        </w:numPr>
        <w:spacing w:before="56" w:after="113" w:line="274" w:lineRule="atLeast"/>
        <w:rPr>
          <w:b/>
        </w:rPr>
      </w:pPr>
      <w:r w:rsidRPr="00C6174F">
        <w:rPr>
          <w:b/>
        </w:rPr>
        <w:t>Please interpret this graph</w:t>
      </w:r>
    </w:p>
    <w:p w:rsidR="0005302E" w:rsidRPr="00552CAD" w:rsidRDefault="0005302E" w:rsidP="0005302E">
      <w:pPr>
        <w:spacing w:before="56" w:after="113" w:line="274" w:lineRule="atLeast"/>
        <w:rPr>
          <w:color w:val="404040"/>
        </w:rPr>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Pr="000B1C19" w:rsidRDefault="0005302E" w:rsidP="0005302E">
            <w:pPr>
              <w:rPr>
                <w:b/>
                <w:bCs/>
                <w:color w:val="000000"/>
              </w:rPr>
            </w:pPr>
            <w:r>
              <w:rPr>
                <w:b/>
                <w:bCs/>
                <w:color w:val="000000"/>
              </w:rPr>
              <w:t>The variance of the 11-20, 31-40 groups appears to be less than the other groups. Also the means of 1-10 group and 41-50 group appear to be differing more significantly from the groups of the other three groups and have a higher variance. Variance of the 21-30 group also appear to be high.</w:t>
            </w:r>
          </w:p>
          <w:p w:rsidR="0005302E" w:rsidRPr="00552CAD" w:rsidRDefault="0005302E" w:rsidP="0005302E">
            <w:pPr>
              <w:rPr>
                <w:b/>
                <w:color w:val="000000"/>
              </w:rPr>
            </w:pPr>
          </w:p>
        </w:tc>
      </w:tr>
    </w:tbl>
    <w:p w:rsidR="0005302E" w:rsidRPr="00552CAD" w:rsidRDefault="0005302E" w:rsidP="0005302E">
      <w:pPr>
        <w:spacing w:before="56" w:after="113" w:line="274" w:lineRule="atLeast"/>
        <w:rPr>
          <w:color w:val="404040"/>
          <w:sz w:val="18"/>
          <w:szCs w:val="18"/>
        </w:rPr>
      </w:pPr>
    </w:p>
    <w:p w:rsidR="0005302E" w:rsidRPr="00552CAD" w:rsidRDefault="0005302E" w:rsidP="0005302E">
      <w:pPr>
        <w:spacing w:before="56" w:after="113" w:line="274" w:lineRule="atLeast"/>
        <w:jc w:val="both"/>
        <w:rPr>
          <w:b/>
          <w:bCs/>
          <w:color w:val="404040"/>
        </w:rPr>
      </w:pPr>
      <w:r w:rsidRPr="00552CAD">
        <w:rPr>
          <w:b/>
          <w:bCs/>
          <w:color w:val="404040"/>
        </w:rPr>
        <w:t>Variances homogeneity</w:t>
      </w:r>
    </w:p>
    <w:p w:rsidR="0005302E" w:rsidRPr="00552CAD" w:rsidRDefault="0005302E" w:rsidP="0005302E">
      <w:pPr>
        <w:spacing w:before="56" w:after="113" w:line="274" w:lineRule="atLeast"/>
        <w:jc w:val="both"/>
        <w:rPr>
          <w:color w:val="404040"/>
        </w:rPr>
      </w:pPr>
      <w:r w:rsidRPr="00552CAD">
        <w:rPr>
          <w:color w:val="404040"/>
        </w:rPr>
        <w:t>Before looking at the results of the ANOVA, it is important to check the assumption of equality of variances with the test of Levene:</w:t>
      </w:r>
    </w:p>
    <w:p w:rsidR="0005302E" w:rsidRPr="00552CAD" w:rsidRDefault="0005302E" w:rsidP="0005302E">
      <w:pPr>
        <w:spacing w:before="56" w:after="113" w:line="274" w:lineRule="atLeast"/>
        <w:jc w:val="center"/>
        <w:rPr>
          <w:color w:val="404040"/>
          <w:sz w:val="18"/>
          <w:szCs w:val="18"/>
        </w:rPr>
      </w:pPr>
      <w:r w:rsidRPr="00552CAD">
        <w:rPr>
          <w:color w:val="404040"/>
        </w:rPr>
        <w:t> </w:t>
      </w:r>
    </w:p>
    <w:tbl>
      <w:tblPr>
        <w:tblW w:w="4780" w:type="dxa"/>
        <w:jc w:val="center"/>
        <w:tblLook w:val="04A0" w:firstRow="1" w:lastRow="0" w:firstColumn="1" w:lastColumn="0" w:noHBand="0" w:noVBand="1"/>
      </w:tblPr>
      <w:tblGrid>
        <w:gridCol w:w="1396"/>
        <w:gridCol w:w="1194"/>
        <w:gridCol w:w="952"/>
        <w:gridCol w:w="1238"/>
      </w:tblGrid>
      <w:tr w:rsidR="0005302E" w:rsidRPr="00552CAD" w:rsidTr="0005302E">
        <w:trPr>
          <w:trHeight w:val="900"/>
          <w:jc w:val="center"/>
        </w:trPr>
        <w:tc>
          <w:tcPr>
            <w:tcW w:w="1396" w:type="dxa"/>
            <w:tcBorders>
              <w:top w:val="nil"/>
              <w:left w:val="nil"/>
              <w:bottom w:val="nil"/>
              <w:right w:val="nil"/>
            </w:tcBorders>
            <w:shd w:val="clear" w:color="000000" w:fill="D9D9D9"/>
            <w:vAlign w:val="center"/>
            <w:hideMark/>
          </w:tcPr>
          <w:p w:rsidR="0005302E" w:rsidRPr="00552CAD" w:rsidRDefault="0005302E" w:rsidP="0005302E">
            <w:pPr>
              <w:rPr>
                <w:sz w:val="20"/>
                <w:szCs w:val="20"/>
              </w:rPr>
            </w:pPr>
            <w:r w:rsidRPr="00552CAD">
              <w:rPr>
                <w:sz w:val="20"/>
                <w:szCs w:val="20"/>
              </w:rPr>
              <w:lastRenderedPageBreak/>
              <w:t> </w:t>
            </w:r>
          </w:p>
        </w:tc>
        <w:tc>
          <w:tcPr>
            <w:tcW w:w="2146" w:type="dxa"/>
            <w:gridSpan w:val="2"/>
            <w:tcBorders>
              <w:top w:val="nil"/>
              <w:left w:val="nil"/>
              <w:bottom w:val="nil"/>
              <w:right w:val="nil"/>
            </w:tcBorders>
            <w:shd w:val="clear" w:color="000000" w:fill="D9D9D9"/>
            <w:hideMark/>
          </w:tcPr>
          <w:p w:rsidR="0005302E" w:rsidRPr="00552CAD" w:rsidRDefault="0005302E" w:rsidP="0005302E">
            <w:pPr>
              <w:jc w:val="center"/>
              <w:rPr>
                <w:b/>
                <w:bCs/>
                <w:sz w:val="18"/>
                <w:szCs w:val="18"/>
              </w:rPr>
            </w:pPr>
            <w:r w:rsidRPr="00552CAD">
              <w:rPr>
                <w:b/>
                <w:bCs/>
                <w:sz w:val="18"/>
                <w:szCs w:val="18"/>
              </w:rPr>
              <w:t>Levene's Test for equality of Variances</w:t>
            </w:r>
          </w:p>
        </w:tc>
        <w:tc>
          <w:tcPr>
            <w:tcW w:w="1238" w:type="dxa"/>
            <w:tcBorders>
              <w:top w:val="nil"/>
              <w:left w:val="nil"/>
              <w:bottom w:val="nil"/>
              <w:right w:val="nil"/>
            </w:tcBorders>
            <w:shd w:val="clear" w:color="000000" w:fill="D9D9D9"/>
            <w:vAlign w:val="center"/>
            <w:hideMark/>
          </w:tcPr>
          <w:p w:rsidR="0005302E" w:rsidRPr="00552CAD" w:rsidRDefault="0005302E" w:rsidP="0005302E">
            <w:pPr>
              <w:rPr>
                <w:sz w:val="20"/>
                <w:szCs w:val="20"/>
              </w:rPr>
            </w:pPr>
            <w:r w:rsidRPr="00552CAD">
              <w:rPr>
                <w:sz w:val="20"/>
                <w:szCs w:val="20"/>
              </w:rPr>
              <w:t> </w:t>
            </w:r>
          </w:p>
        </w:tc>
      </w:tr>
      <w:tr w:rsidR="0005302E" w:rsidRPr="00552CAD" w:rsidTr="0005302E">
        <w:trPr>
          <w:trHeight w:val="255"/>
          <w:jc w:val="center"/>
        </w:trPr>
        <w:tc>
          <w:tcPr>
            <w:tcW w:w="1396" w:type="dxa"/>
            <w:tcBorders>
              <w:top w:val="single" w:sz="4" w:space="0" w:color="auto"/>
              <w:left w:val="nil"/>
              <w:bottom w:val="single" w:sz="4" w:space="0" w:color="auto"/>
              <w:right w:val="single" w:sz="4" w:space="0" w:color="auto"/>
            </w:tcBorders>
            <w:shd w:val="clear" w:color="auto" w:fill="auto"/>
            <w:hideMark/>
          </w:tcPr>
          <w:p w:rsidR="0005302E" w:rsidRPr="00552CAD" w:rsidRDefault="0005302E" w:rsidP="0005302E">
            <w:pPr>
              <w:jc w:val="center"/>
              <w:rPr>
                <w:sz w:val="18"/>
                <w:szCs w:val="18"/>
              </w:rPr>
            </w:pPr>
            <w:r w:rsidRPr="00552CAD">
              <w:rPr>
                <w:sz w:val="18"/>
                <w:szCs w:val="18"/>
              </w:rPr>
              <w:t>Levene Statistic</w:t>
            </w:r>
          </w:p>
        </w:tc>
        <w:tc>
          <w:tcPr>
            <w:tcW w:w="1194" w:type="dxa"/>
            <w:tcBorders>
              <w:top w:val="single" w:sz="4" w:space="0" w:color="auto"/>
              <w:left w:val="nil"/>
              <w:bottom w:val="single" w:sz="4" w:space="0" w:color="auto"/>
              <w:right w:val="single" w:sz="4" w:space="0" w:color="auto"/>
            </w:tcBorders>
            <w:shd w:val="clear" w:color="auto" w:fill="auto"/>
            <w:vAlign w:val="bottom"/>
            <w:hideMark/>
          </w:tcPr>
          <w:p w:rsidR="0005302E" w:rsidRPr="00552CAD" w:rsidRDefault="0005302E" w:rsidP="0005302E">
            <w:pPr>
              <w:ind w:firstLineChars="100" w:firstLine="180"/>
              <w:jc w:val="center"/>
              <w:rPr>
                <w:sz w:val="18"/>
                <w:szCs w:val="18"/>
              </w:rPr>
            </w:pPr>
            <w:r w:rsidRPr="00552CAD">
              <w:rPr>
                <w:sz w:val="18"/>
                <w:szCs w:val="18"/>
              </w:rPr>
              <w:t>df1</w:t>
            </w:r>
          </w:p>
        </w:tc>
        <w:tc>
          <w:tcPr>
            <w:tcW w:w="952" w:type="dxa"/>
            <w:tcBorders>
              <w:top w:val="single" w:sz="4" w:space="0" w:color="auto"/>
              <w:left w:val="nil"/>
              <w:bottom w:val="single" w:sz="4" w:space="0" w:color="auto"/>
              <w:right w:val="single" w:sz="4" w:space="0" w:color="auto"/>
            </w:tcBorders>
            <w:shd w:val="clear" w:color="auto" w:fill="auto"/>
            <w:vAlign w:val="bottom"/>
            <w:hideMark/>
          </w:tcPr>
          <w:p w:rsidR="0005302E" w:rsidRPr="00552CAD" w:rsidRDefault="0005302E" w:rsidP="0005302E">
            <w:pPr>
              <w:ind w:firstLineChars="100" w:firstLine="180"/>
              <w:rPr>
                <w:sz w:val="18"/>
                <w:szCs w:val="18"/>
              </w:rPr>
            </w:pPr>
            <w:r w:rsidRPr="00552CAD">
              <w:rPr>
                <w:sz w:val="18"/>
                <w:szCs w:val="18"/>
              </w:rPr>
              <w:t>df2</w:t>
            </w:r>
          </w:p>
        </w:tc>
        <w:tc>
          <w:tcPr>
            <w:tcW w:w="1238" w:type="dxa"/>
            <w:tcBorders>
              <w:top w:val="single" w:sz="4" w:space="0" w:color="auto"/>
              <w:left w:val="nil"/>
              <w:bottom w:val="single" w:sz="4" w:space="0" w:color="auto"/>
              <w:right w:val="single" w:sz="4" w:space="0" w:color="auto"/>
            </w:tcBorders>
            <w:shd w:val="clear" w:color="auto" w:fill="auto"/>
            <w:vAlign w:val="bottom"/>
            <w:hideMark/>
          </w:tcPr>
          <w:p w:rsidR="0005302E" w:rsidRPr="00552CAD" w:rsidRDefault="0005302E" w:rsidP="0005302E">
            <w:pPr>
              <w:ind w:firstLineChars="100" w:firstLine="180"/>
              <w:jc w:val="center"/>
              <w:rPr>
                <w:sz w:val="18"/>
                <w:szCs w:val="18"/>
              </w:rPr>
            </w:pPr>
            <w:r w:rsidRPr="00552CAD">
              <w:rPr>
                <w:sz w:val="18"/>
                <w:szCs w:val="18"/>
              </w:rPr>
              <w:t>Sig.</w:t>
            </w:r>
          </w:p>
        </w:tc>
      </w:tr>
      <w:tr w:rsidR="0005302E" w:rsidRPr="00552CAD" w:rsidTr="0005302E">
        <w:trPr>
          <w:trHeight w:val="255"/>
          <w:jc w:val="center"/>
        </w:trPr>
        <w:tc>
          <w:tcPr>
            <w:tcW w:w="139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center"/>
              <w:rPr>
                <w:sz w:val="18"/>
                <w:szCs w:val="18"/>
              </w:rPr>
            </w:pPr>
            <w:r w:rsidRPr="00552CAD">
              <w:rPr>
                <w:sz w:val="18"/>
                <w:szCs w:val="18"/>
              </w:rPr>
              <w:t>1.179</w:t>
            </w:r>
          </w:p>
        </w:tc>
        <w:tc>
          <w:tcPr>
            <w:tcW w:w="119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300" w:firstLine="540"/>
              <w:rPr>
                <w:sz w:val="18"/>
                <w:szCs w:val="18"/>
              </w:rPr>
            </w:pPr>
            <w:r w:rsidRPr="00552CAD">
              <w:rPr>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899</w:t>
            </w:r>
          </w:p>
        </w:tc>
        <w:tc>
          <w:tcPr>
            <w:tcW w:w="1238"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center"/>
              <w:rPr>
                <w:sz w:val="18"/>
                <w:szCs w:val="18"/>
              </w:rPr>
            </w:pPr>
            <w:r w:rsidRPr="00552CAD">
              <w:rPr>
                <w:sz w:val="18"/>
                <w:szCs w:val="18"/>
              </w:rPr>
              <w:t>0.319</w:t>
            </w:r>
          </w:p>
        </w:tc>
      </w:tr>
    </w:tbl>
    <w:p w:rsidR="0005302E" w:rsidRPr="00C6174F" w:rsidRDefault="0005302E" w:rsidP="0005302E">
      <w:pPr>
        <w:pStyle w:val="Paragraphedeliste"/>
        <w:spacing w:before="56" w:after="113" w:line="274" w:lineRule="atLeast"/>
        <w:jc w:val="both"/>
        <w:rPr>
          <w:b/>
          <w:bCs/>
        </w:rPr>
      </w:pPr>
    </w:p>
    <w:p w:rsidR="0005302E" w:rsidRPr="00C6174F" w:rsidRDefault="0005302E" w:rsidP="0005302E">
      <w:pPr>
        <w:pStyle w:val="Paragraphedeliste"/>
        <w:spacing w:before="56" w:after="113" w:line="274" w:lineRule="atLeast"/>
        <w:jc w:val="both"/>
        <w:rPr>
          <w:b/>
          <w:bCs/>
        </w:rPr>
      </w:pPr>
    </w:p>
    <w:p w:rsidR="0005302E" w:rsidRPr="00C6174F" w:rsidRDefault="0005302E" w:rsidP="0005302E">
      <w:pPr>
        <w:pStyle w:val="Paragraphedeliste"/>
        <w:numPr>
          <w:ilvl w:val="0"/>
          <w:numId w:val="21"/>
        </w:numPr>
        <w:spacing w:before="56" w:after="113" w:line="274" w:lineRule="atLeast"/>
        <w:jc w:val="both"/>
        <w:rPr>
          <w:b/>
          <w:bCs/>
        </w:rPr>
      </w:pPr>
      <w:r w:rsidRPr="00C6174F">
        <w:rPr>
          <w:b/>
        </w:rPr>
        <w:t>Please interpret this table</w:t>
      </w:r>
    </w:p>
    <w:p w:rsidR="0005302E" w:rsidRPr="00552CAD" w:rsidRDefault="0005302E" w:rsidP="0005302E">
      <w:pPr>
        <w:spacing w:before="56" w:after="113" w:line="274" w:lineRule="atLeast"/>
        <w:jc w:val="both"/>
        <w:rPr>
          <w:b/>
          <w:bCs/>
          <w:color w:val="E36C0A" w:themeColor="accent6" w:themeShade="BF"/>
        </w:rPr>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Default="0005302E" w:rsidP="0005302E">
            <w:pPr>
              <w:rPr>
                <w:b/>
                <w:bCs/>
                <w:color w:val="000000"/>
              </w:rPr>
            </w:pPr>
            <w:r>
              <w:rPr>
                <w:b/>
                <w:bCs/>
                <w:color w:val="000000"/>
              </w:rPr>
              <w:t>This test states that the null hypothesis indicating homogeneity of variances cannot be rejected with high confidence.</w:t>
            </w:r>
          </w:p>
          <w:p w:rsidR="0005302E" w:rsidRPr="00552CAD" w:rsidRDefault="0005302E" w:rsidP="0005302E">
            <w:pPr>
              <w:rPr>
                <w:b/>
                <w:color w:val="000000"/>
              </w:rPr>
            </w:pPr>
          </w:p>
        </w:tc>
      </w:tr>
    </w:tbl>
    <w:p w:rsidR="0005302E" w:rsidRPr="00552CAD" w:rsidRDefault="0005302E" w:rsidP="0005302E">
      <w:pPr>
        <w:spacing w:before="56" w:after="113" w:line="274" w:lineRule="atLeast"/>
        <w:jc w:val="both"/>
        <w:rPr>
          <w:b/>
          <w:bCs/>
          <w:color w:val="404040"/>
        </w:rPr>
      </w:pPr>
    </w:p>
    <w:p w:rsidR="0005302E" w:rsidRPr="00552CAD" w:rsidRDefault="0005302E" w:rsidP="0005302E">
      <w:pPr>
        <w:spacing w:before="56" w:after="113" w:line="274" w:lineRule="atLeast"/>
        <w:jc w:val="both"/>
        <w:rPr>
          <w:b/>
          <w:bCs/>
          <w:color w:val="404040"/>
        </w:rPr>
      </w:pPr>
      <w:r w:rsidRPr="00552CAD">
        <w:rPr>
          <w:b/>
          <w:bCs/>
          <w:color w:val="404040"/>
        </w:rPr>
        <w:t>Results of the ANOVA</w:t>
      </w:r>
    </w:p>
    <w:p w:rsidR="0005302E" w:rsidRPr="00552CAD" w:rsidRDefault="0005302E" w:rsidP="0005302E">
      <w:pPr>
        <w:spacing w:before="56" w:after="113" w:line="274" w:lineRule="atLeast"/>
        <w:jc w:val="both"/>
        <w:rPr>
          <w:bCs/>
          <w:color w:val="404040"/>
        </w:rPr>
      </w:pPr>
      <w:r w:rsidRPr="00552CAD">
        <w:rPr>
          <w:bCs/>
          <w:color w:val="404040"/>
        </w:rPr>
        <w:t>Let’s look now at the results of the ANOVA:</w:t>
      </w:r>
    </w:p>
    <w:p w:rsidR="0005302E" w:rsidRPr="00552CAD" w:rsidRDefault="0005302E" w:rsidP="0005302E">
      <w:pPr>
        <w:spacing w:before="56" w:after="113" w:line="274" w:lineRule="atLeast"/>
        <w:jc w:val="center"/>
        <w:rPr>
          <w:color w:val="404040"/>
          <w:sz w:val="18"/>
          <w:szCs w:val="18"/>
        </w:rPr>
      </w:pPr>
      <w:r w:rsidRPr="00552CAD">
        <w:rPr>
          <w:color w:val="404040"/>
        </w:rPr>
        <w:t> </w:t>
      </w:r>
    </w:p>
    <w:tbl>
      <w:tblPr>
        <w:tblW w:w="8860" w:type="dxa"/>
        <w:tblInd w:w="5" w:type="dxa"/>
        <w:tblLook w:val="04A0" w:firstRow="1" w:lastRow="0" w:firstColumn="1" w:lastColumn="0" w:noHBand="0" w:noVBand="1"/>
      </w:tblPr>
      <w:tblGrid>
        <w:gridCol w:w="2860"/>
        <w:gridCol w:w="1416"/>
        <w:gridCol w:w="1200"/>
        <w:gridCol w:w="1200"/>
        <w:gridCol w:w="1200"/>
        <w:gridCol w:w="1200"/>
      </w:tblGrid>
      <w:tr w:rsidR="0005302E" w:rsidRPr="00552CAD" w:rsidTr="0005302E">
        <w:trPr>
          <w:trHeight w:val="300"/>
        </w:trPr>
        <w:tc>
          <w:tcPr>
            <w:tcW w:w="286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b/>
                <w:bCs/>
                <w:color w:val="000000"/>
              </w:rPr>
            </w:pPr>
            <w:r w:rsidRPr="00552CAD">
              <w:rPr>
                <w:b/>
                <w:bCs/>
                <w:color w:val="000000"/>
              </w:rPr>
              <w:t>Anova</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286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480"/>
        </w:trPr>
        <w:tc>
          <w:tcPr>
            <w:tcW w:w="2860" w:type="dxa"/>
            <w:tcBorders>
              <w:top w:val="nil"/>
              <w:left w:val="nil"/>
              <w:bottom w:val="nil"/>
              <w:right w:val="nil"/>
            </w:tcBorders>
            <w:shd w:val="clear" w:color="000000" w:fill="D9D9D9"/>
            <w:noWrap/>
            <w:vAlign w:val="center"/>
            <w:hideMark/>
          </w:tcPr>
          <w:p w:rsidR="0005302E" w:rsidRPr="00552CAD" w:rsidRDefault="0005302E" w:rsidP="0005302E">
            <w:pPr>
              <w:jc w:val="center"/>
              <w:rPr>
                <w:sz w:val="20"/>
                <w:szCs w:val="20"/>
              </w:rPr>
            </w:pPr>
            <w:r w:rsidRPr="00552CAD">
              <w:rPr>
                <w:sz w:val="20"/>
                <w:szCs w:val="20"/>
              </w:rPr>
              <w:t>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Sum of Squares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df</w:t>
            </w:r>
          </w:p>
        </w:tc>
        <w:tc>
          <w:tcPr>
            <w:tcW w:w="1200" w:type="dxa"/>
            <w:tcBorders>
              <w:top w:val="single" w:sz="4" w:space="0" w:color="auto"/>
              <w:left w:val="nil"/>
              <w:bottom w:val="nil"/>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Mean Square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F</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Sig.</w:t>
            </w:r>
          </w:p>
        </w:tc>
      </w:tr>
      <w:tr w:rsidR="0005302E" w:rsidRPr="00552CAD" w:rsidTr="0005302E">
        <w:trPr>
          <w:trHeight w:val="315"/>
        </w:trPr>
        <w:tc>
          <w:tcPr>
            <w:tcW w:w="2860" w:type="dxa"/>
            <w:tcBorders>
              <w:top w:val="single" w:sz="4" w:space="0" w:color="auto"/>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Between groups</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5,567.843</w:t>
            </w:r>
          </w:p>
        </w:tc>
        <w:tc>
          <w:tcPr>
            <w:tcW w:w="120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4</w:t>
            </w:r>
          </w:p>
        </w:tc>
        <w:tc>
          <w:tcPr>
            <w:tcW w:w="1200" w:type="dxa"/>
            <w:tcBorders>
              <w:top w:val="single" w:sz="4" w:space="0" w:color="auto"/>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1,391.961</w:t>
            </w:r>
          </w:p>
        </w:tc>
        <w:tc>
          <w:tcPr>
            <w:tcW w:w="1200" w:type="dxa"/>
            <w:tcBorders>
              <w:top w:val="nil"/>
              <w:left w:val="nil"/>
              <w:bottom w:val="nil"/>
              <w:right w:val="single" w:sz="4" w:space="0" w:color="auto"/>
            </w:tcBorders>
            <w:shd w:val="clear" w:color="000000" w:fill="DDEBF7"/>
            <w:noWrap/>
            <w:vAlign w:val="center"/>
            <w:hideMark/>
          </w:tcPr>
          <w:p w:rsidR="0005302E" w:rsidRPr="00552CAD" w:rsidRDefault="0005302E" w:rsidP="0005302E">
            <w:pPr>
              <w:ind w:firstLineChars="200" w:firstLine="360"/>
              <w:rPr>
                <w:color w:val="000000"/>
                <w:sz w:val="18"/>
                <w:szCs w:val="18"/>
              </w:rPr>
            </w:pPr>
            <w:r w:rsidRPr="00552CAD">
              <w:rPr>
                <w:color w:val="000000"/>
                <w:sz w:val="18"/>
                <w:szCs w:val="18"/>
              </w:rPr>
              <w:t>7.572</w:t>
            </w:r>
          </w:p>
        </w:tc>
        <w:tc>
          <w:tcPr>
            <w:tcW w:w="12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color w:val="000000"/>
                <w:sz w:val="20"/>
                <w:szCs w:val="20"/>
              </w:rPr>
            </w:pPr>
            <w:r w:rsidRPr="00552CAD">
              <w:rPr>
                <w:color w:val="000000"/>
                <w:sz w:val="20"/>
                <w:szCs w:val="20"/>
                <w:vertAlign w:val="subscript"/>
              </w:rPr>
              <w:t>•</w:t>
            </w:r>
            <w:r w:rsidRPr="00552CAD">
              <w:rPr>
                <w:color w:val="000000"/>
                <w:sz w:val="18"/>
                <w:szCs w:val="18"/>
              </w:rPr>
              <w:t>000</w:t>
            </w:r>
          </w:p>
        </w:tc>
      </w:tr>
      <w:tr w:rsidR="0005302E" w:rsidRPr="00552CAD" w:rsidTr="0005302E">
        <w:trPr>
          <w:trHeight w:val="300"/>
        </w:trPr>
        <w:tc>
          <w:tcPr>
            <w:tcW w:w="286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Within Groups</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165,264.140</w:t>
            </w:r>
          </w:p>
        </w:tc>
        <w:tc>
          <w:tcPr>
            <w:tcW w:w="120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889</w:t>
            </w:r>
          </w:p>
        </w:tc>
        <w:tc>
          <w:tcPr>
            <w:tcW w:w="120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183.831</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r>
      <w:tr w:rsidR="0005302E" w:rsidRPr="00552CAD" w:rsidTr="0005302E">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Total</w:t>
            </w:r>
          </w:p>
        </w:tc>
        <w:tc>
          <w:tcPr>
            <w:tcW w:w="12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170,831.982</w:t>
            </w:r>
          </w:p>
        </w:tc>
        <w:tc>
          <w:tcPr>
            <w:tcW w:w="1200" w:type="dxa"/>
            <w:tcBorders>
              <w:top w:val="nil"/>
              <w:left w:val="nil"/>
              <w:bottom w:val="single" w:sz="4" w:space="0" w:color="auto"/>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903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c>
          <w:tcPr>
            <w:tcW w:w="12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c>
          <w:tcPr>
            <w:tcW w:w="12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r>
    </w:tbl>
    <w:p w:rsidR="0005302E" w:rsidRPr="00552CAD" w:rsidRDefault="0005302E" w:rsidP="0005302E">
      <w:pPr>
        <w:spacing w:before="56" w:after="113" w:line="274" w:lineRule="atLeast"/>
        <w:jc w:val="both"/>
        <w:rPr>
          <w:color w:val="E36C0A" w:themeColor="accent6" w:themeShade="BF"/>
        </w:rPr>
      </w:pPr>
      <w:r w:rsidRPr="00552CAD">
        <w:rPr>
          <w:color w:val="E36C0A" w:themeColor="accent6" w:themeShade="BF"/>
        </w:rPr>
        <w:t> </w:t>
      </w:r>
    </w:p>
    <w:p w:rsidR="0005302E" w:rsidRPr="00C6174F" w:rsidRDefault="0005302E" w:rsidP="0005302E">
      <w:pPr>
        <w:pStyle w:val="Paragraphedeliste"/>
        <w:numPr>
          <w:ilvl w:val="0"/>
          <w:numId w:val="21"/>
        </w:numPr>
        <w:spacing w:before="56" w:after="113" w:line="274" w:lineRule="atLeast"/>
        <w:jc w:val="both"/>
        <w:rPr>
          <w:b/>
        </w:rPr>
      </w:pPr>
      <w:r w:rsidRPr="00C6174F">
        <w:rPr>
          <w:b/>
        </w:rPr>
        <w:t>Please interpret this table</w:t>
      </w:r>
    </w:p>
    <w:p w:rsidR="0005302E" w:rsidRPr="00552CAD" w:rsidRDefault="0005302E" w:rsidP="0005302E">
      <w:pPr>
        <w:spacing w:before="56" w:after="113" w:line="274" w:lineRule="atLeast"/>
        <w:jc w:val="both"/>
        <w:rPr>
          <w:color w:val="E36C0A" w:themeColor="accent6" w:themeShade="BF"/>
        </w:rPr>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Pr="00552CAD" w:rsidRDefault="0005302E" w:rsidP="0005302E">
            <w:pPr>
              <w:rPr>
                <w:b/>
                <w:color w:val="000000"/>
              </w:rPr>
            </w:pPr>
          </w:p>
          <w:p w:rsidR="0005302E" w:rsidRPr="00552CAD" w:rsidRDefault="0005302E" w:rsidP="0005302E">
            <w:pPr>
              <w:rPr>
                <w:b/>
                <w:color w:val="000000"/>
              </w:rPr>
            </w:pPr>
          </w:p>
          <w:p w:rsidR="0005302E" w:rsidRDefault="0005302E" w:rsidP="0005302E">
            <w:pPr>
              <w:rPr>
                <w:b/>
                <w:bCs/>
                <w:color w:val="000000"/>
              </w:rPr>
            </w:pPr>
            <w:r>
              <w:rPr>
                <w:b/>
                <w:bCs/>
                <w:color w:val="000000"/>
              </w:rPr>
              <w:t>This F-test</w:t>
            </w:r>
            <w:r w:rsidR="00A01F1D">
              <w:rPr>
                <w:b/>
                <w:bCs/>
                <w:color w:val="000000"/>
              </w:rPr>
              <w:t>/p-value</w:t>
            </w:r>
            <w:r>
              <w:rPr>
                <w:b/>
                <w:bCs/>
                <w:color w:val="000000"/>
              </w:rPr>
              <w:t xml:space="preserve"> indicates that </w:t>
            </w:r>
            <w:r w:rsidR="00A01F1D">
              <w:rPr>
                <w:b/>
                <w:bCs/>
                <w:color w:val="000000"/>
              </w:rPr>
              <w:t>we can reject the null hypothesi</w:t>
            </w:r>
            <w:r w:rsidR="00352C92">
              <w:rPr>
                <w:b/>
                <w:bCs/>
                <w:color w:val="000000"/>
              </w:rPr>
              <w:t>s</w:t>
            </w:r>
            <w:r w:rsidR="00A01F1D">
              <w:rPr>
                <w:b/>
                <w:bCs/>
                <w:color w:val="000000"/>
              </w:rPr>
              <w:t xml:space="preserve">, </w:t>
            </w:r>
            <w:r>
              <w:rPr>
                <w:b/>
                <w:bCs/>
                <w:color w:val="000000"/>
              </w:rPr>
              <w:t>the group means cannot be assumed to be from the same populations with high confidence and are likely to be unequal</w:t>
            </w:r>
            <w:r w:rsidR="00A01F1D">
              <w:rPr>
                <w:b/>
                <w:bCs/>
                <w:color w:val="000000"/>
              </w:rPr>
              <w:t>.</w:t>
            </w:r>
          </w:p>
          <w:p w:rsidR="0005302E" w:rsidRPr="00552CAD" w:rsidRDefault="0005302E" w:rsidP="0005302E">
            <w:pPr>
              <w:rPr>
                <w:b/>
                <w:color w:val="000000"/>
              </w:rPr>
            </w:pPr>
            <w:bookmarkStart w:id="0" w:name="_GoBack"/>
            <w:bookmarkEnd w:id="0"/>
          </w:p>
          <w:p w:rsidR="0005302E" w:rsidRPr="00552CAD" w:rsidRDefault="0005302E" w:rsidP="0005302E">
            <w:pPr>
              <w:rPr>
                <w:b/>
                <w:color w:val="000000"/>
              </w:rPr>
            </w:pPr>
          </w:p>
          <w:p w:rsidR="0005302E" w:rsidRPr="00552CAD" w:rsidRDefault="0005302E" w:rsidP="0005302E">
            <w:pPr>
              <w:rPr>
                <w:b/>
                <w:color w:val="000000"/>
              </w:rPr>
            </w:pPr>
          </w:p>
        </w:tc>
      </w:tr>
    </w:tbl>
    <w:p w:rsidR="0005302E" w:rsidRPr="00552CAD" w:rsidRDefault="0005302E" w:rsidP="0005302E">
      <w:pPr>
        <w:spacing w:before="56" w:after="113" w:line="274" w:lineRule="atLeast"/>
        <w:jc w:val="both"/>
        <w:rPr>
          <w:color w:val="E36C0A" w:themeColor="accent6" w:themeShade="BF"/>
        </w:rPr>
      </w:pPr>
    </w:p>
    <w:p w:rsidR="0005302E" w:rsidRPr="00552CAD" w:rsidRDefault="0005302E" w:rsidP="0005302E">
      <w:pPr>
        <w:spacing w:before="56" w:after="113" w:line="274" w:lineRule="atLeast"/>
        <w:jc w:val="both"/>
        <w:rPr>
          <w:color w:val="E36C0A" w:themeColor="accent6" w:themeShade="BF"/>
        </w:rPr>
      </w:pPr>
    </w:p>
    <w:p w:rsidR="0005302E" w:rsidRPr="00552CAD" w:rsidRDefault="0005302E" w:rsidP="0005302E">
      <w:pPr>
        <w:spacing w:before="56" w:after="113" w:line="274" w:lineRule="atLeast"/>
        <w:jc w:val="both"/>
        <w:rPr>
          <w:b/>
          <w:bCs/>
        </w:rPr>
      </w:pPr>
      <w:r w:rsidRPr="00552CAD">
        <w:rPr>
          <w:b/>
          <w:bCs/>
        </w:rPr>
        <w:t>Multiple Comparisons</w:t>
      </w:r>
    </w:p>
    <w:p w:rsidR="0005302E" w:rsidRPr="00552CAD" w:rsidRDefault="0005302E" w:rsidP="0005302E">
      <w:pPr>
        <w:spacing w:before="56" w:after="113" w:line="274" w:lineRule="atLeast"/>
        <w:jc w:val="both"/>
        <w:rPr>
          <w:bCs/>
        </w:rPr>
      </w:pPr>
      <w:r w:rsidRPr="00552CAD">
        <w:rPr>
          <w:bCs/>
        </w:rPr>
        <w:t xml:space="preserve">Following this analysis of variance, it’s needed to do a post-hoc test. </w:t>
      </w:r>
    </w:p>
    <w:p w:rsidR="0005302E" w:rsidRPr="00552CAD" w:rsidRDefault="0005302E" w:rsidP="0005302E">
      <w:pPr>
        <w:spacing w:before="56" w:after="113" w:line="274" w:lineRule="atLeast"/>
        <w:jc w:val="both"/>
        <w:rPr>
          <w:bCs/>
        </w:rPr>
      </w:pPr>
      <w:r w:rsidRPr="00552CAD">
        <w:rPr>
          <w:bCs/>
        </w:rPr>
        <w:lastRenderedPageBreak/>
        <w:t>Explain why and interpret the following table:</w:t>
      </w:r>
    </w:p>
    <w:tbl>
      <w:tblPr>
        <w:tblW w:w="10160" w:type="dxa"/>
        <w:tblInd w:w="-407" w:type="dxa"/>
        <w:tblLook w:val="04A0" w:firstRow="1" w:lastRow="0" w:firstColumn="1" w:lastColumn="0" w:noHBand="0" w:noVBand="1"/>
      </w:tblPr>
      <w:tblGrid>
        <w:gridCol w:w="4060"/>
        <w:gridCol w:w="1300"/>
        <w:gridCol w:w="1040"/>
        <w:gridCol w:w="1280"/>
        <w:gridCol w:w="1224"/>
        <w:gridCol w:w="1256"/>
      </w:tblGrid>
      <w:tr w:rsidR="0005302E" w:rsidRPr="00552CAD" w:rsidTr="0005302E">
        <w:trPr>
          <w:trHeight w:val="537"/>
        </w:trPr>
        <w:tc>
          <w:tcPr>
            <w:tcW w:w="40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ind w:firstLineChars="100" w:firstLine="250"/>
              <w:jc w:val="right"/>
              <w:rPr>
                <w:sz w:val="25"/>
                <w:szCs w:val="25"/>
              </w:rPr>
            </w:pPr>
            <w:bookmarkStart w:id="1" w:name="RANGE!A1"/>
            <w:r w:rsidRPr="00552CAD">
              <w:rPr>
                <w:sz w:val="25"/>
                <w:szCs w:val="25"/>
              </w:rPr>
              <w:t>Level (I) /     Level (J)</w:t>
            </w:r>
            <w:bookmarkEnd w:id="1"/>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jc w:val="center"/>
              <w:rPr>
                <w:sz w:val="18"/>
                <w:szCs w:val="18"/>
              </w:rPr>
            </w:pPr>
            <w:r w:rsidRPr="00552CAD">
              <w:rPr>
                <w:sz w:val="18"/>
                <w:szCs w:val="18"/>
              </w:rPr>
              <w:t>Mean Difference</w:t>
            </w:r>
            <w:r w:rsidRPr="00552CAD">
              <w:rPr>
                <w:sz w:val="18"/>
                <w:szCs w:val="18"/>
              </w:rPr>
              <w:br/>
              <w:t>(l-J)</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jc w:val="center"/>
              <w:rPr>
                <w:sz w:val="18"/>
                <w:szCs w:val="18"/>
              </w:rPr>
            </w:pPr>
            <w:r w:rsidRPr="00552CAD">
              <w:rPr>
                <w:sz w:val="18"/>
                <w:szCs w:val="18"/>
              </w:rPr>
              <w:t>Std. Error</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jc w:val="center"/>
              <w:rPr>
                <w:sz w:val="18"/>
                <w:szCs w:val="18"/>
              </w:rPr>
            </w:pPr>
            <w:r w:rsidRPr="00552CAD">
              <w:rPr>
                <w:sz w:val="18"/>
                <w:szCs w:val="18"/>
              </w:rPr>
              <w:t>Sig.</w:t>
            </w:r>
          </w:p>
        </w:tc>
        <w:tc>
          <w:tcPr>
            <w:tcW w:w="2480" w:type="dxa"/>
            <w:gridSpan w:val="2"/>
            <w:tcBorders>
              <w:top w:val="single" w:sz="4" w:space="0" w:color="auto"/>
              <w:left w:val="nil"/>
              <w:bottom w:val="single" w:sz="4" w:space="0" w:color="auto"/>
              <w:right w:val="single" w:sz="4" w:space="0" w:color="000000"/>
            </w:tcBorders>
            <w:shd w:val="clear" w:color="auto" w:fill="auto"/>
            <w:vAlign w:val="center"/>
            <w:hideMark/>
          </w:tcPr>
          <w:p w:rsidR="0005302E" w:rsidRPr="00552CAD" w:rsidRDefault="0005302E" w:rsidP="0005302E">
            <w:pPr>
              <w:jc w:val="center"/>
              <w:rPr>
                <w:sz w:val="20"/>
                <w:szCs w:val="20"/>
              </w:rPr>
            </w:pPr>
            <w:r w:rsidRPr="00552CAD">
              <w:rPr>
                <w:sz w:val="20"/>
                <w:szCs w:val="20"/>
              </w:rPr>
              <w:t>95% confidence interval for Mean</w:t>
            </w:r>
          </w:p>
        </w:tc>
      </w:tr>
      <w:tr w:rsidR="0005302E" w:rsidRPr="00552CAD" w:rsidTr="0005302E">
        <w:trPr>
          <w:trHeight w:val="255"/>
        </w:trPr>
        <w:tc>
          <w:tcPr>
            <w:tcW w:w="406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25"/>
                <w:szCs w:val="25"/>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18"/>
                <w:szCs w:val="18"/>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18"/>
                <w:szCs w:val="18"/>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18"/>
                <w:szCs w:val="18"/>
              </w:rPr>
            </w:pP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20"/>
                <w:szCs w:val="20"/>
              </w:rPr>
            </w:pPr>
            <w:r w:rsidRPr="00552CAD">
              <w:rPr>
                <w:sz w:val="20"/>
                <w:szCs w:val="20"/>
              </w:rPr>
              <w:t>Lower Bound</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20"/>
                <w:szCs w:val="20"/>
              </w:rPr>
            </w:pPr>
            <w:r w:rsidRPr="00552CAD">
              <w:rPr>
                <w:sz w:val="20"/>
                <w:szCs w:val="20"/>
              </w:rPr>
              <w:t>Upper Bound</w:t>
            </w:r>
          </w:p>
        </w:tc>
      </w:tr>
      <w:tr w:rsidR="0005302E" w:rsidRPr="00552CAD" w:rsidTr="0005302E">
        <w:trPr>
          <w:trHeight w:val="304"/>
        </w:trPr>
        <w:tc>
          <w:tcPr>
            <w:tcW w:w="4060" w:type="dxa"/>
            <w:tcBorders>
              <w:top w:val="nil"/>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0 - Level 1 - 10/  1 - Level 11 - 20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10"/>
                <w:szCs w:val="10"/>
              </w:rPr>
            </w:pPr>
            <w:r w:rsidRPr="00552CAD">
              <w:rPr>
                <w:b/>
                <w:bCs/>
                <w:color w:val="000000"/>
                <w:sz w:val="10"/>
                <w:szCs w:val="10"/>
              </w:rPr>
              <w:t>-</w:t>
            </w:r>
            <w:r w:rsidRPr="00552CAD">
              <w:rPr>
                <w:b/>
                <w:bCs/>
                <w:color w:val="000000"/>
                <w:sz w:val="20"/>
                <w:szCs w:val="20"/>
              </w:rPr>
              <w:t>5,37*</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1.527</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0.005</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-9.67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-1.08</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-5.152</w:t>
            </w:r>
          </w:p>
        </w:tc>
        <w:tc>
          <w:tcPr>
            <w:tcW w:w="1040" w:type="dxa"/>
            <w:tcBorders>
              <w:top w:val="nil"/>
              <w:left w:val="nil"/>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2094,</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0.141</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-11.05</w:t>
            </w:r>
          </w:p>
        </w:tc>
        <w:tc>
          <w:tcPr>
            <w:tcW w:w="1256" w:type="dxa"/>
            <w:tcBorders>
              <w:top w:val="nil"/>
              <w:left w:val="nil"/>
              <w:bottom w:val="nil"/>
              <w:right w:val="single" w:sz="4" w:space="0" w:color="auto"/>
            </w:tcBorders>
            <w:shd w:val="clear" w:color="auto" w:fill="auto"/>
            <w:vAlign w:val="center"/>
            <w:hideMark/>
          </w:tcPr>
          <w:p w:rsidR="0005302E" w:rsidRPr="00552CAD" w:rsidRDefault="0005302E" w:rsidP="0005302E">
            <w:pPr>
              <w:ind w:firstLineChars="100" w:firstLine="180"/>
              <w:jc w:val="right"/>
              <w:rPr>
                <w:sz w:val="18"/>
                <w:szCs w:val="18"/>
              </w:rPr>
            </w:pPr>
            <w:r w:rsidRPr="00552CAD">
              <w:rPr>
                <w:sz w:val="18"/>
                <w:szCs w:val="18"/>
              </w:rPr>
              <w:t>0,74</w:t>
            </w:r>
          </w:p>
        </w:tc>
      </w:tr>
      <w:tr w:rsidR="0005302E" w:rsidRPr="00552CAD" w:rsidTr="0005302E">
        <w:trPr>
          <w:trHeight w:val="297"/>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-7,462*</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1.702</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-12.25</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-2.67</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-10,466*</w:t>
            </w:r>
          </w:p>
        </w:tc>
        <w:tc>
          <w:tcPr>
            <w:tcW w:w="1040" w:type="dxa"/>
            <w:tcBorders>
              <w:top w:val="nil"/>
              <w:left w:val="nil"/>
              <w:bottom w:val="single" w:sz="4" w:space="0" w:color="auto"/>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2057,</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-16.26</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-4.68</w:t>
            </w:r>
          </w:p>
        </w:tc>
      </w:tr>
      <w:tr w:rsidR="0005302E" w:rsidRPr="00552CAD" w:rsidTr="0005302E">
        <w:trPr>
          <w:trHeight w:val="282"/>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1 - Level 11 - 20/  0 - Level 1 - 10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20"/>
                <w:szCs w:val="20"/>
              </w:rPr>
            </w:pPr>
            <w:r w:rsidRPr="00552CAD">
              <w:rPr>
                <w:b/>
                <w:bCs/>
                <w:color w:val="000000"/>
                <w:sz w:val="20"/>
                <w:szCs w:val="20"/>
              </w:rPr>
              <w:t>5,37*</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1.527</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0.005</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1.08</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9.67</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0.223</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1.688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-4.53</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4.97</w:t>
            </w:r>
          </w:p>
        </w:tc>
      </w:tr>
      <w:tr w:rsidR="0005302E" w:rsidRPr="00552CAD" w:rsidTr="0005302E">
        <w:trPr>
          <w:trHeight w:val="297"/>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-2.086</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1.166</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i/>
                <w:iCs/>
                <w:sz w:val="18"/>
                <w:szCs w:val="18"/>
              </w:rPr>
            </w:pPr>
            <w:r w:rsidRPr="00552CAD">
              <w:rPr>
                <w:i/>
                <w:iCs/>
                <w:sz w:val="18"/>
                <w:szCs w:val="18"/>
              </w:rPr>
              <w:t>0.739</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-5.37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1.19</w:t>
            </w:r>
          </w:p>
        </w:tc>
      </w:tr>
      <w:tr w:rsidR="0005302E" w:rsidRPr="00552CAD" w:rsidTr="0005302E">
        <w:trPr>
          <w:trHeight w:val="345"/>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-5,091*</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1.642</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.020</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-9.71</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-0.47</w:t>
            </w:r>
          </w:p>
        </w:tc>
      </w:tr>
      <w:tr w:rsidR="0005302E" w:rsidRPr="00552CAD" w:rsidTr="0005302E">
        <w:trPr>
          <w:trHeight w:val="297"/>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2 - Level 21 - 30/  0 - Level 1 - 10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5.152</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2.094</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0.141</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-0.74</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11.05</w:t>
            </w:r>
          </w:p>
        </w:tc>
      </w:tr>
      <w:tr w:rsidR="0005302E" w:rsidRPr="00552CAD" w:rsidTr="0005302E">
        <w:trPr>
          <w:trHeight w:val="323"/>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1 - Level 11 - 20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-0.223</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1.688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-4.97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4.53</w:t>
            </w:r>
          </w:p>
        </w:tc>
      </w:tr>
      <w:tr w:rsidR="0005302E" w:rsidRPr="00552CAD" w:rsidTr="0005302E">
        <w:trPr>
          <w:trHeight w:val="323"/>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-2.309</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1.848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-7.51</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2.89</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-5.314</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2.179</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0.149</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-11.45</w:t>
            </w:r>
          </w:p>
        </w:tc>
        <w:tc>
          <w:tcPr>
            <w:tcW w:w="1256" w:type="dxa"/>
            <w:tcBorders>
              <w:top w:val="nil"/>
              <w:left w:val="nil"/>
              <w:bottom w:val="single" w:sz="4" w:space="0" w:color="auto"/>
              <w:right w:val="single" w:sz="4" w:space="0" w:color="auto"/>
            </w:tcBorders>
            <w:shd w:val="clear" w:color="auto" w:fill="auto"/>
            <w:vAlign w:val="center"/>
            <w:hideMark/>
          </w:tcPr>
          <w:p w:rsidR="0005302E" w:rsidRPr="00552CAD" w:rsidRDefault="0005302E" w:rsidP="0005302E">
            <w:pPr>
              <w:ind w:firstLineChars="100" w:firstLine="180"/>
              <w:jc w:val="right"/>
              <w:rPr>
                <w:sz w:val="18"/>
                <w:szCs w:val="18"/>
              </w:rPr>
            </w:pPr>
            <w:r w:rsidRPr="00552CAD">
              <w:rPr>
                <w:sz w:val="18"/>
                <w:szCs w:val="18"/>
              </w:rPr>
              <w:t>0,82</w:t>
            </w:r>
          </w:p>
        </w:tc>
      </w:tr>
      <w:tr w:rsidR="0005302E" w:rsidRPr="00552CAD" w:rsidTr="0005302E">
        <w:trPr>
          <w:trHeight w:val="297"/>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3 - Level 31 - 40/  0 - Level 1 - 10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7,462</w:t>
            </w:r>
            <w:r w:rsidRPr="00552CAD">
              <w:rPr>
                <w:color w:val="000000"/>
                <w:sz w:val="19"/>
                <w:szCs w:val="19"/>
                <w:vertAlign w:val="superscript"/>
              </w:rPr>
              <w:t>*</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1.702</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2.67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12.25</w:t>
            </w:r>
          </w:p>
        </w:tc>
      </w:tr>
      <w:tr w:rsidR="0005302E" w:rsidRPr="00552CAD" w:rsidTr="0005302E">
        <w:trPr>
          <w:trHeight w:val="312"/>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1 - Level 11 - 20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2.086</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1.166</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i/>
                <w:iCs/>
                <w:sz w:val="18"/>
                <w:szCs w:val="18"/>
              </w:rPr>
            </w:pPr>
            <w:r w:rsidRPr="00552CAD">
              <w:rPr>
                <w:i/>
                <w:iCs/>
                <w:sz w:val="18"/>
                <w:szCs w:val="18"/>
              </w:rPr>
              <w:t>0.739</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-1.19</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5.37</w:t>
            </w:r>
          </w:p>
        </w:tc>
      </w:tr>
      <w:tr w:rsidR="0005302E" w:rsidRPr="00552CAD" w:rsidTr="0005302E">
        <w:trPr>
          <w:trHeight w:val="312"/>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2.309</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1.848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-2.89</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7.51</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-3.005</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1.806</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0.964</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-8.09</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2.08</w:t>
            </w:r>
          </w:p>
        </w:tc>
      </w:tr>
      <w:tr w:rsidR="0005302E" w:rsidRPr="00552CAD" w:rsidTr="0005302E">
        <w:trPr>
          <w:trHeight w:val="297"/>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4 - Level 41 - 50/  0 - Level 1 - 10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20"/>
                <w:szCs w:val="20"/>
              </w:rPr>
            </w:pPr>
            <w:r w:rsidRPr="00552CAD">
              <w:rPr>
                <w:b/>
                <w:bCs/>
                <w:color w:val="000000"/>
                <w:sz w:val="20"/>
                <w:szCs w:val="20"/>
              </w:rPr>
              <w:t>10,466*</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2.057</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4.68</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16.26</w:t>
            </w:r>
          </w:p>
        </w:tc>
      </w:tr>
      <w:tr w:rsidR="0005302E" w:rsidRPr="00552CAD" w:rsidTr="0005302E">
        <w:trPr>
          <w:trHeight w:val="297"/>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1 - Level 11 - 20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20"/>
                <w:szCs w:val="20"/>
              </w:rPr>
            </w:pPr>
            <w:r w:rsidRPr="00552CAD">
              <w:rPr>
                <w:b/>
                <w:bCs/>
                <w:color w:val="000000"/>
                <w:sz w:val="20"/>
                <w:szCs w:val="20"/>
              </w:rPr>
              <w:t>5,091*</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1.642</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0.47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9.71</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5.314</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2.179</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0.149</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-0.82</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11.45</w:t>
            </w:r>
          </w:p>
        </w:tc>
      </w:tr>
      <w:tr w:rsidR="0005302E" w:rsidRPr="00552CAD" w:rsidTr="0005302E">
        <w:trPr>
          <w:trHeight w:val="353"/>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3.005</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1.806</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0.964</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-2.08</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8.09</w:t>
            </w:r>
          </w:p>
        </w:tc>
      </w:tr>
    </w:tbl>
    <w:p w:rsidR="0005302E" w:rsidRPr="00552CAD" w:rsidRDefault="0005302E" w:rsidP="0005302E">
      <w:pPr>
        <w:spacing w:before="56" w:after="113" w:line="274" w:lineRule="atLeast"/>
        <w:jc w:val="both"/>
        <w:rPr>
          <w:color w:val="404040"/>
        </w:rPr>
      </w:pPr>
    </w:p>
    <w:p w:rsidR="0005302E" w:rsidRPr="00C6174F" w:rsidRDefault="0005302E" w:rsidP="0005302E">
      <w:pPr>
        <w:spacing w:before="56" w:after="113" w:line="274" w:lineRule="atLeast"/>
        <w:jc w:val="both"/>
        <w:rPr>
          <w:b/>
        </w:rPr>
      </w:pPr>
      <w:r w:rsidRPr="00C6174F">
        <w:rPr>
          <w:b/>
        </w:rPr>
        <w:t>ANSWER</w:t>
      </w: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Pr="00552CAD" w:rsidRDefault="0005302E" w:rsidP="0005302E">
            <w:pPr>
              <w:rPr>
                <w:b/>
                <w:color w:val="000000"/>
              </w:rPr>
            </w:pPr>
          </w:p>
          <w:p w:rsidR="0005302E" w:rsidRDefault="0005302E" w:rsidP="0005302E">
            <w:pPr>
              <w:rPr>
                <w:b/>
                <w:bCs/>
                <w:color w:val="000000"/>
              </w:rPr>
            </w:pPr>
            <w:r>
              <w:rPr>
                <w:b/>
                <w:bCs/>
                <w:color w:val="000000"/>
              </w:rPr>
              <w:t xml:space="preserve">The F test only tells us if the null hypothesis stating equality of means can be rejected with confidence and we found that it could. However it does not tell us which sample means are unequal. The above post-hoc test gives us this information. It tells us that the mean from group0 cannot be assumed to be equal to the mean from group1,3 or 4 with high confidence. It also indicates inequality of means of groups 1 and 4, </w:t>
            </w:r>
          </w:p>
          <w:p w:rsidR="0005302E" w:rsidRPr="00552CAD" w:rsidRDefault="0005302E" w:rsidP="0005302E">
            <w:pPr>
              <w:rPr>
                <w:b/>
                <w:color w:val="000000"/>
              </w:rPr>
            </w:pPr>
          </w:p>
          <w:p w:rsidR="0005302E" w:rsidRPr="00552CAD" w:rsidRDefault="0005302E" w:rsidP="0005302E">
            <w:pPr>
              <w:rPr>
                <w:b/>
                <w:color w:val="000000"/>
              </w:rPr>
            </w:pPr>
          </w:p>
        </w:tc>
      </w:tr>
    </w:tbl>
    <w:p w:rsidR="0005302E" w:rsidRPr="00552CAD" w:rsidRDefault="0005302E" w:rsidP="00C6174F">
      <w:pPr>
        <w:autoSpaceDE w:val="0"/>
        <w:autoSpaceDN w:val="0"/>
        <w:adjustRightInd w:val="0"/>
        <w:jc w:val="both"/>
        <w:rPr>
          <w:color w:val="000000"/>
        </w:rPr>
      </w:pPr>
    </w:p>
    <w:sectPr w:rsidR="0005302E" w:rsidRPr="00552CAD" w:rsidSect="009F29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77A" w:rsidRDefault="0064277A" w:rsidP="000B1C19">
      <w:r>
        <w:separator/>
      </w:r>
    </w:p>
  </w:endnote>
  <w:endnote w:type="continuationSeparator" w:id="0">
    <w:p w:rsidR="0064277A" w:rsidRDefault="0064277A" w:rsidP="000B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77A" w:rsidRDefault="0064277A" w:rsidP="000B1C19">
      <w:r>
        <w:separator/>
      </w:r>
    </w:p>
  </w:footnote>
  <w:footnote w:type="continuationSeparator" w:id="0">
    <w:p w:rsidR="0064277A" w:rsidRDefault="0064277A" w:rsidP="000B1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62D8"/>
    <w:multiLevelType w:val="hybridMultilevel"/>
    <w:tmpl w:val="74F2FA90"/>
    <w:lvl w:ilvl="0" w:tplc="FA8081D8">
      <w:start w:val="1"/>
      <w:numFmt w:val="decimal"/>
      <w:pStyle w:val="Code"/>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4E39"/>
    <w:multiLevelType w:val="hybridMultilevel"/>
    <w:tmpl w:val="2A88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3A57"/>
    <w:multiLevelType w:val="hybridMultilevel"/>
    <w:tmpl w:val="7ACA2CDE"/>
    <w:lvl w:ilvl="0" w:tplc="DB642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D1F57"/>
    <w:multiLevelType w:val="hybridMultilevel"/>
    <w:tmpl w:val="E8FE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96284"/>
    <w:multiLevelType w:val="hybridMultilevel"/>
    <w:tmpl w:val="55262DCC"/>
    <w:lvl w:ilvl="0" w:tplc="92B25F7A">
      <w:start w:val="45"/>
      <w:numFmt w:val="bullet"/>
      <w:lvlText w:val="-"/>
      <w:lvlJc w:val="left"/>
      <w:pPr>
        <w:ind w:left="3660" w:hanging="360"/>
      </w:pPr>
      <w:rPr>
        <w:rFonts w:ascii="Arial" w:eastAsia="Times New Roman" w:hAnsi="Arial" w:cs="Aria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5" w15:restartNumberingAfterBreak="0">
    <w:nsid w:val="191F00D8"/>
    <w:multiLevelType w:val="hybridMultilevel"/>
    <w:tmpl w:val="3146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75104A"/>
    <w:multiLevelType w:val="hybridMultilevel"/>
    <w:tmpl w:val="DFD225C0"/>
    <w:lvl w:ilvl="0" w:tplc="DE0066E6">
      <w:start w:val="45"/>
      <w:numFmt w:val="bullet"/>
      <w:lvlText w:val="-"/>
      <w:lvlJc w:val="left"/>
      <w:pPr>
        <w:ind w:left="3300" w:hanging="360"/>
      </w:pPr>
      <w:rPr>
        <w:rFonts w:ascii="Arial" w:eastAsia="Times New Roman" w:hAnsi="Arial" w:cs="Aria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7" w15:restartNumberingAfterBreak="0">
    <w:nsid w:val="24FB685F"/>
    <w:multiLevelType w:val="hybridMultilevel"/>
    <w:tmpl w:val="C6A6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075BD"/>
    <w:multiLevelType w:val="hybridMultilevel"/>
    <w:tmpl w:val="3D600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671EE1"/>
    <w:multiLevelType w:val="hybridMultilevel"/>
    <w:tmpl w:val="D86C2D66"/>
    <w:lvl w:ilvl="0" w:tplc="DDFED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05082B"/>
    <w:multiLevelType w:val="hybridMultilevel"/>
    <w:tmpl w:val="26C8538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B258A"/>
    <w:multiLevelType w:val="hybridMultilevel"/>
    <w:tmpl w:val="38C65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D22B3"/>
    <w:multiLevelType w:val="hybridMultilevel"/>
    <w:tmpl w:val="D5D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4625C5"/>
    <w:multiLevelType w:val="hybridMultilevel"/>
    <w:tmpl w:val="7C182B92"/>
    <w:lvl w:ilvl="0" w:tplc="956AB24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8B345A7"/>
    <w:multiLevelType w:val="hybridMultilevel"/>
    <w:tmpl w:val="D720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6086C"/>
    <w:multiLevelType w:val="hybridMultilevel"/>
    <w:tmpl w:val="75F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D2F69"/>
    <w:multiLevelType w:val="hybridMultilevel"/>
    <w:tmpl w:val="6C8A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F1EEB"/>
    <w:multiLevelType w:val="hybridMultilevel"/>
    <w:tmpl w:val="932A4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64933"/>
    <w:multiLevelType w:val="hybridMultilevel"/>
    <w:tmpl w:val="F4F4F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81657"/>
    <w:multiLevelType w:val="hybridMultilevel"/>
    <w:tmpl w:val="36282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24EF0"/>
    <w:multiLevelType w:val="hybridMultilevel"/>
    <w:tmpl w:val="246835CE"/>
    <w:lvl w:ilvl="0" w:tplc="64A80542">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619E26A6"/>
    <w:multiLevelType w:val="hybridMultilevel"/>
    <w:tmpl w:val="C2D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36482"/>
    <w:multiLevelType w:val="hybridMultilevel"/>
    <w:tmpl w:val="682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22119"/>
    <w:multiLevelType w:val="hybridMultilevel"/>
    <w:tmpl w:val="694E4AF2"/>
    <w:lvl w:ilvl="0" w:tplc="72301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55454"/>
    <w:multiLevelType w:val="hybridMultilevel"/>
    <w:tmpl w:val="C1BE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463FE"/>
    <w:multiLevelType w:val="hybridMultilevel"/>
    <w:tmpl w:val="E8E6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D01D8"/>
    <w:multiLevelType w:val="hybridMultilevel"/>
    <w:tmpl w:val="F4F4F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64CEC"/>
    <w:multiLevelType w:val="hybridMultilevel"/>
    <w:tmpl w:val="A3BC0CD2"/>
    <w:lvl w:ilvl="0" w:tplc="B6C2B3B4">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9A0317B"/>
    <w:multiLevelType w:val="hybridMultilevel"/>
    <w:tmpl w:val="868E6226"/>
    <w:lvl w:ilvl="0" w:tplc="79B821C2">
      <w:start w:val="45"/>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ED166A9"/>
    <w:multiLevelType w:val="hybridMultilevel"/>
    <w:tmpl w:val="55D07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6514C9"/>
    <w:multiLevelType w:val="multilevel"/>
    <w:tmpl w:val="17A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23"/>
  </w:num>
  <w:num w:numId="4">
    <w:abstractNumId w:val="12"/>
  </w:num>
  <w:num w:numId="5">
    <w:abstractNumId w:val="9"/>
  </w:num>
  <w:num w:numId="6">
    <w:abstractNumId w:val="0"/>
    <w:lvlOverride w:ilvl="0">
      <w:startOverride w:val="1"/>
    </w:lvlOverride>
  </w:num>
  <w:num w:numId="7">
    <w:abstractNumId w:val="0"/>
    <w:lvlOverride w:ilvl="0">
      <w:startOverride w:val="1"/>
    </w:lvlOverride>
  </w:num>
  <w:num w:numId="8">
    <w:abstractNumId w:val="2"/>
  </w:num>
  <w:num w:numId="9">
    <w:abstractNumId w:val="22"/>
  </w:num>
  <w:num w:numId="10">
    <w:abstractNumId w:val="3"/>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num>
  <w:num w:numId="15">
    <w:abstractNumId w:val="15"/>
  </w:num>
  <w:num w:numId="16">
    <w:abstractNumId w:val="24"/>
  </w:num>
  <w:num w:numId="17">
    <w:abstractNumId w:val="8"/>
  </w:num>
  <w:num w:numId="18">
    <w:abstractNumId w:val="14"/>
  </w:num>
  <w:num w:numId="19">
    <w:abstractNumId w:val="17"/>
  </w:num>
  <w:num w:numId="20">
    <w:abstractNumId w:val="10"/>
  </w:num>
  <w:num w:numId="21">
    <w:abstractNumId w:val="16"/>
  </w:num>
  <w:num w:numId="22">
    <w:abstractNumId w:val="6"/>
  </w:num>
  <w:num w:numId="23">
    <w:abstractNumId w:val="4"/>
  </w:num>
  <w:num w:numId="24">
    <w:abstractNumId w:val="28"/>
  </w:num>
  <w:num w:numId="25">
    <w:abstractNumId w:val="25"/>
  </w:num>
  <w:num w:numId="26">
    <w:abstractNumId w:val="29"/>
  </w:num>
  <w:num w:numId="27">
    <w:abstractNumId w:val="21"/>
  </w:num>
  <w:num w:numId="28">
    <w:abstractNumId w:val="26"/>
  </w:num>
  <w:num w:numId="29">
    <w:abstractNumId w:val="18"/>
  </w:num>
  <w:num w:numId="30">
    <w:abstractNumId w:val="20"/>
  </w:num>
  <w:num w:numId="31">
    <w:abstractNumId w:val="1"/>
  </w:num>
  <w:num w:numId="32">
    <w:abstractNumId w:val="7"/>
  </w:num>
  <w:num w:numId="33">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A4"/>
    <w:rsid w:val="000017B2"/>
    <w:rsid w:val="00001E18"/>
    <w:rsid w:val="00002170"/>
    <w:rsid w:val="00022F7C"/>
    <w:rsid w:val="00024EA5"/>
    <w:rsid w:val="000340FE"/>
    <w:rsid w:val="00034447"/>
    <w:rsid w:val="00034AEE"/>
    <w:rsid w:val="00040FFD"/>
    <w:rsid w:val="00044688"/>
    <w:rsid w:val="0005302E"/>
    <w:rsid w:val="00056304"/>
    <w:rsid w:val="00057908"/>
    <w:rsid w:val="000600B6"/>
    <w:rsid w:val="00061CBC"/>
    <w:rsid w:val="00061FE2"/>
    <w:rsid w:val="0006614D"/>
    <w:rsid w:val="00066858"/>
    <w:rsid w:val="000668E6"/>
    <w:rsid w:val="000729DE"/>
    <w:rsid w:val="00072A6C"/>
    <w:rsid w:val="000825D0"/>
    <w:rsid w:val="00084AF5"/>
    <w:rsid w:val="000854EC"/>
    <w:rsid w:val="00087BD3"/>
    <w:rsid w:val="00092797"/>
    <w:rsid w:val="0009404D"/>
    <w:rsid w:val="00096189"/>
    <w:rsid w:val="00097E25"/>
    <w:rsid w:val="000A3862"/>
    <w:rsid w:val="000A57B1"/>
    <w:rsid w:val="000B07EE"/>
    <w:rsid w:val="000B0D12"/>
    <w:rsid w:val="000B1C19"/>
    <w:rsid w:val="000B33A7"/>
    <w:rsid w:val="000B4789"/>
    <w:rsid w:val="000B5969"/>
    <w:rsid w:val="000C49A8"/>
    <w:rsid w:val="000D0834"/>
    <w:rsid w:val="000D1795"/>
    <w:rsid w:val="000D791E"/>
    <w:rsid w:val="000E10E5"/>
    <w:rsid w:val="000E44D7"/>
    <w:rsid w:val="000E4D77"/>
    <w:rsid w:val="000E551B"/>
    <w:rsid w:val="000E64CF"/>
    <w:rsid w:val="000F0565"/>
    <w:rsid w:val="000F7CF4"/>
    <w:rsid w:val="00104310"/>
    <w:rsid w:val="001134F7"/>
    <w:rsid w:val="00115322"/>
    <w:rsid w:val="00122236"/>
    <w:rsid w:val="001249A7"/>
    <w:rsid w:val="00136E6F"/>
    <w:rsid w:val="001402C9"/>
    <w:rsid w:val="0014538F"/>
    <w:rsid w:val="00154346"/>
    <w:rsid w:val="001549D3"/>
    <w:rsid w:val="00172EC3"/>
    <w:rsid w:val="00174AB4"/>
    <w:rsid w:val="001764F2"/>
    <w:rsid w:val="0018373D"/>
    <w:rsid w:val="001847C8"/>
    <w:rsid w:val="0019153A"/>
    <w:rsid w:val="00192D40"/>
    <w:rsid w:val="001936D7"/>
    <w:rsid w:val="00193C6D"/>
    <w:rsid w:val="001943CC"/>
    <w:rsid w:val="001958FB"/>
    <w:rsid w:val="00195B56"/>
    <w:rsid w:val="00197289"/>
    <w:rsid w:val="001A7371"/>
    <w:rsid w:val="001A7D81"/>
    <w:rsid w:val="001B306D"/>
    <w:rsid w:val="001B778B"/>
    <w:rsid w:val="001C25FF"/>
    <w:rsid w:val="001D0882"/>
    <w:rsid w:val="001D0C88"/>
    <w:rsid w:val="001E45B4"/>
    <w:rsid w:val="001F71AD"/>
    <w:rsid w:val="0020538C"/>
    <w:rsid w:val="00205DAB"/>
    <w:rsid w:val="00211564"/>
    <w:rsid w:val="00212E8C"/>
    <w:rsid w:val="002153B7"/>
    <w:rsid w:val="00223F0C"/>
    <w:rsid w:val="00225CB5"/>
    <w:rsid w:val="00226CD6"/>
    <w:rsid w:val="002334DD"/>
    <w:rsid w:val="00233F9F"/>
    <w:rsid w:val="00241D64"/>
    <w:rsid w:val="0026182B"/>
    <w:rsid w:val="00271F58"/>
    <w:rsid w:val="0027494C"/>
    <w:rsid w:val="002807C9"/>
    <w:rsid w:val="00280B15"/>
    <w:rsid w:val="002820DC"/>
    <w:rsid w:val="002A5E77"/>
    <w:rsid w:val="002B0038"/>
    <w:rsid w:val="002B1E64"/>
    <w:rsid w:val="002B2789"/>
    <w:rsid w:val="002B42BD"/>
    <w:rsid w:val="002C0AB8"/>
    <w:rsid w:val="002D14CB"/>
    <w:rsid w:val="002D1B93"/>
    <w:rsid w:val="002D77AB"/>
    <w:rsid w:val="002E312B"/>
    <w:rsid w:val="0030375F"/>
    <w:rsid w:val="003041EA"/>
    <w:rsid w:val="003104FD"/>
    <w:rsid w:val="00316151"/>
    <w:rsid w:val="00322EAC"/>
    <w:rsid w:val="003242F8"/>
    <w:rsid w:val="00333D93"/>
    <w:rsid w:val="00337EF1"/>
    <w:rsid w:val="00341DD0"/>
    <w:rsid w:val="003447B0"/>
    <w:rsid w:val="00345290"/>
    <w:rsid w:val="00352C92"/>
    <w:rsid w:val="00353EAA"/>
    <w:rsid w:val="0035524D"/>
    <w:rsid w:val="003553AA"/>
    <w:rsid w:val="00357ACE"/>
    <w:rsid w:val="003617E1"/>
    <w:rsid w:val="003707F4"/>
    <w:rsid w:val="003719F2"/>
    <w:rsid w:val="00374C17"/>
    <w:rsid w:val="00376E35"/>
    <w:rsid w:val="003817BA"/>
    <w:rsid w:val="00390ADD"/>
    <w:rsid w:val="00390C56"/>
    <w:rsid w:val="00394BE5"/>
    <w:rsid w:val="003A29D9"/>
    <w:rsid w:val="003A4ACD"/>
    <w:rsid w:val="003C1747"/>
    <w:rsid w:val="003C2DCF"/>
    <w:rsid w:val="003C3DA0"/>
    <w:rsid w:val="003C7A73"/>
    <w:rsid w:val="003D2934"/>
    <w:rsid w:val="003D6AF2"/>
    <w:rsid w:val="003E1456"/>
    <w:rsid w:val="003E39FF"/>
    <w:rsid w:val="003E55A9"/>
    <w:rsid w:val="003F3BA2"/>
    <w:rsid w:val="003F6ED3"/>
    <w:rsid w:val="004016DD"/>
    <w:rsid w:val="00405C20"/>
    <w:rsid w:val="004113E9"/>
    <w:rsid w:val="00414097"/>
    <w:rsid w:val="004231B6"/>
    <w:rsid w:val="00437D4B"/>
    <w:rsid w:val="0047003E"/>
    <w:rsid w:val="00470257"/>
    <w:rsid w:val="004703E2"/>
    <w:rsid w:val="004748B7"/>
    <w:rsid w:val="004863A2"/>
    <w:rsid w:val="0048645E"/>
    <w:rsid w:val="00487159"/>
    <w:rsid w:val="00492F56"/>
    <w:rsid w:val="004956D6"/>
    <w:rsid w:val="00496591"/>
    <w:rsid w:val="004A15A0"/>
    <w:rsid w:val="004A7677"/>
    <w:rsid w:val="004C1646"/>
    <w:rsid w:val="004C2EEC"/>
    <w:rsid w:val="004C6531"/>
    <w:rsid w:val="004C74AE"/>
    <w:rsid w:val="004C7766"/>
    <w:rsid w:val="004C7B4B"/>
    <w:rsid w:val="004D0979"/>
    <w:rsid w:val="004D4D7A"/>
    <w:rsid w:val="004D7F64"/>
    <w:rsid w:val="004E7D3F"/>
    <w:rsid w:val="004F08CC"/>
    <w:rsid w:val="004F3267"/>
    <w:rsid w:val="004F7AF6"/>
    <w:rsid w:val="005016AD"/>
    <w:rsid w:val="005114B5"/>
    <w:rsid w:val="0051463F"/>
    <w:rsid w:val="00515B71"/>
    <w:rsid w:val="00515C34"/>
    <w:rsid w:val="00522C96"/>
    <w:rsid w:val="0053048B"/>
    <w:rsid w:val="00533398"/>
    <w:rsid w:val="00533B4E"/>
    <w:rsid w:val="00535AB3"/>
    <w:rsid w:val="005370ED"/>
    <w:rsid w:val="0054175A"/>
    <w:rsid w:val="00543241"/>
    <w:rsid w:val="00545358"/>
    <w:rsid w:val="00551880"/>
    <w:rsid w:val="00552CAD"/>
    <w:rsid w:val="00553809"/>
    <w:rsid w:val="00553C87"/>
    <w:rsid w:val="00555BAE"/>
    <w:rsid w:val="00557BD0"/>
    <w:rsid w:val="00562119"/>
    <w:rsid w:val="005725CF"/>
    <w:rsid w:val="00574838"/>
    <w:rsid w:val="0058014D"/>
    <w:rsid w:val="00583458"/>
    <w:rsid w:val="005860D4"/>
    <w:rsid w:val="00586893"/>
    <w:rsid w:val="005930E5"/>
    <w:rsid w:val="00597BB3"/>
    <w:rsid w:val="005A3B4B"/>
    <w:rsid w:val="005A3D48"/>
    <w:rsid w:val="005B08D0"/>
    <w:rsid w:val="005C1DE4"/>
    <w:rsid w:val="005C28C8"/>
    <w:rsid w:val="005C314D"/>
    <w:rsid w:val="005C6ECB"/>
    <w:rsid w:val="005C704F"/>
    <w:rsid w:val="005D0D60"/>
    <w:rsid w:val="005E1CD6"/>
    <w:rsid w:val="005E7400"/>
    <w:rsid w:val="0060301A"/>
    <w:rsid w:val="006078E5"/>
    <w:rsid w:val="00610E4B"/>
    <w:rsid w:val="00611EE4"/>
    <w:rsid w:val="006144A8"/>
    <w:rsid w:val="006231FB"/>
    <w:rsid w:val="006245AF"/>
    <w:rsid w:val="006248DB"/>
    <w:rsid w:val="00631D2F"/>
    <w:rsid w:val="00635717"/>
    <w:rsid w:val="00637130"/>
    <w:rsid w:val="0064277A"/>
    <w:rsid w:val="0064377F"/>
    <w:rsid w:val="0064456D"/>
    <w:rsid w:val="006463C8"/>
    <w:rsid w:val="0064772A"/>
    <w:rsid w:val="006500C7"/>
    <w:rsid w:val="006500FC"/>
    <w:rsid w:val="006536D0"/>
    <w:rsid w:val="00665C88"/>
    <w:rsid w:val="0069027F"/>
    <w:rsid w:val="006923CE"/>
    <w:rsid w:val="0069240A"/>
    <w:rsid w:val="006970A2"/>
    <w:rsid w:val="006B010A"/>
    <w:rsid w:val="006B153F"/>
    <w:rsid w:val="006B7233"/>
    <w:rsid w:val="006B7AC6"/>
    <w:rsid w:val="006C028B"/>
    <w:rsid w:val="006C1B33"/>
    <w:rsid w:val="006C3AD9"/>
    <w:rsid w:val="006C64CD"/>
    <w:rsid w:val="006D6455"/>
    <w:rsid w:val="006E30D4"/>
    <w:rsid w:val="006E63DC"/>
    <w:rsid w:val="006F40FF"/>
    <w:rsid w:val="006F7CF0"/>
    <w:rsid w:val="00703AAA"/>
    <w:rsid w:val="00711BE3"/>
    <w:rsid w:val="00711E61"/>
    <w:rsid w:val="007132B1"/>
    <w:rsid w:val="00714138"/>
    <w:rsid w:val="00716308"/>
    <w:rsid w:val="00717622"/>
    <w:rsid w:val="00721D19"/>
    <w:rsid w:val="00726B1B"/>
    <w:rsid w:val="00735F8C"/>
    <w:rsid w:val="00740EAB"/>
    <w:rsid w:val="0074118B"/>
    <w:rsid w:val="007468D3"/>
    <w:rsid w:val="00752580"/>
    <w:rsid w:val="007611FF"/>
    <w:rsid w:val="00763C12"/>
    <w:rsid w:val="007656B0"/>
    <w:rsid w:val="007671F0"/>
    <w:rsid w:val="00770E91"/>
    <w:rsid w:val="007715D1"/>
    <w:rsid w:val="00775150"/>
    <w:rsid w:val="00776762"/>
    <w:rsid w:val="00781ECF"/>
    <w:rsid w:val="007832A8"/>
    <w:rsid w:val="00784603"/>
    <w:rsid w:val="0078750F"/>
    <w:rsid w:val="0079436B"/>
    <w:rsid w:val="00797FD4"/>
    <w:rsid w:val="007B5744"/>
    <w:rsid w:val="007B7DA2"/>
    <w:rsid w:val="007C5C61"/>
    <w:rsid w:val="007C62A5"/>
    <w:rsid w:val="007D2B68"/>
    <w:rsid w:val="007D441A"/>
    <w:rsid w:val="007E09C8"/>
    <w:rsid w:val="007E294A"/>
    <w:rsid w:val="007E4B1B"/>
    <w:rsid w:val="007E7EBE"/>
    <w:rsid w:val="007F474A"/>
    <w:rsid w:val="007F52F5"/>
    <w:rsid w:val="007F7A3F"/>
    <w:rsid w:val="00800AE5"/>
    <w:rsid w:val="0080622C"/>
    <w:rsid w:val="00807EB2"/>
    <w:rsid w:val="00814186"/>
    <w:rsid w:val="008169C5"/>
    <w:rsid w:val="00817408"/>
    <w:rsid w:val="008179AB"/>
    <w:rsid w:val="008266F0"/>
    <w:rsid w:val="00832D2F"/>
    <w:rsid w:val="00842831"/>
    <w:rsid w:val="00844E72"/>
    <w:rsid w:val="008454C3"/>
    <w:rsid w:val="00846145"/>
    <w:rsid w:val="00851B73"/>
    <w:rsid w:val="00853DC9"/>
    <w:rsid w:val="00855DDC"/>
    <w:rsid w:val="00857A4E"/>
    <w:rsid w:val="00857BA3"/>
    <w:rsid w:val="0086463C"/>
    <w:rsid w:val="0086506F"/>
    <w:rsid w:val="00865526"/>
    <w:rsid w:val="00874C18"/>
    <w:rsid w:val="00877DD5"/>
    <w:rsid w:val="008B0EA6"/>
    <w:rsid w:val="008B6E97"/>
    <w:rsid w:val="008C4C2C"/>
    <w:rsid w:val="008D2104"/>
    <w:rsid w:val="008D3B5A"/>
    <w:rsid w:val="008E535D"/>
    <w:rsid w:val="008E56B8"/>
    <w:rsid w:val="009032B5"/>
    <w:rsid w:val="009060F8"/>
    <w:rsid w:val="00915743"/>
    <w:rsid w:val="0091663E"/>
    <w:rsid w:val="009200D9"/>
    <w:rsid w:val="00924089"/>
    <w:rsid w:val="009254EC"/>
    <w:rsid w:val="009264A3"/>
    <w:rsid w:val="0093386E"/>
    <w:rsid w:val="00940FCC"/>
    <w:rsid w:val="00947C57"/>
    <w:rsid w:val="00952489"/>
    <w:rsid w:val="009571E1"/>
    <w:rsid w:val="00964DA9"/>
    <w:rsid w:val="009714EE"/>
    <w:rsid w:val="00973257"/>
    <w:rsid w:val="00980580"/>
    <w:rsid w:val="00980FF7"/>
    <w:rsid w:val="00995CDA"/>
    <w:rsid w:val="00995D88"/>
    <w:rsid w:val="009A34A7"/>
    <w:rsid w:val="009B6E01"/>
    <w:rsid w:val="009C39DD"/>
    <w:rsid w:val="009C7148"/>
    <w:rsid w:val="009D79DC"/>
    <w:rsid w:val="009E6A64"/>
    <w:rsid w:val="009E7E92"/>
    <w:rsid w:val="009F02DD"/>
    <w:rsid w:val="009F17E7"/>
    <w:rsid w:val="009F296E"/>
    <w:rsid w:val="009F6D91"/>
    <w:rsid w:val="00A01F1D"/>
    <w:rsid w:val="00A071E1"/>
    <w:rsid w:val="00A175A1"/>
    <w:rsid w:val="00A26462"/>
    <w:rsid w:val="00A3053A"/>
    <w:rsid w:val="00A31C6F"/>
    <w:rsid w:val="00A32965"/>
    <w:rsid w:val="00A377CE"/>
    <w:rsid w:val="00A4179F"/>
    <w:rsid w:val="00A446EB"/>
    <w:rsid w:val="00A45980"/>
    <w:rsid w:val="00A46B98"/>
    <w:rsid w:val="00A56902"/>
    <w:rsid w:val="00A7039A"/>
    <w:rsid w:val="00A73778"/>
    <w:rsid w:val="00A742C0"/>
    <w:rsid w:val="00A770AB"/>
    <w:rsid w:val="00A80FF6"/>
    <w:rsid w:val="00A82E00"/>
    <w:rsid w:val="00A87495"/>
    <w:rsid w:val="00A911D7"/>
    <w:rsid w:val="00A96C4A"/>
    <w:rsid w:val="00A974A6"/>
    <w:rsid w:val="00AA1EC8"/>
    <w:rsid w:val="00AA29E1"/>
    <w:rsid w:val="00AB2543"/>
    <w:rsid w:val="00AB41CD"/>
    <w:rsid w:val="00AC2419"/>
    <w:rsid w:val="00AC6160"/>
    <w:rsid w:val="00AC7510"/>
    <w:rsid w:val="00AC75A8"/>
    <w:rsid w:val="00AF086B"/>
    <w:rsid w:val="00B00CEC"/>
    <w:rsid w:val="00B131BF"/>
    <w:rsid w:val="00B2276D"/>
    <w:rsid w:val="00B23B17"/>
    <w:rsid w:val="00B32898"/>
    <w:rsid w:val="00B333AE"/>
    <w:rsid w:val="00B34CE6"/>
    <w:rsid w:val="00B520CE"/>
    <w:rsid w:val="00B540A6"/>
    <w:rsid w:val="00B56B56"/>
    <w:rsid w:val="00B62836"/>
    <w:rsid w:val="00B67391"/>
    <w:rsid w:val="00B721C4"/>
    <w:rsid w:val="00B732FE"/>
    <w:rsid w:val="00B74208"/>
    <w:rsid w:val="00B745F4"/>
    <w:rsid w:val="00B76850"/>
    <w:rsid w:val="00B779BB"/>
    <w:rsid w:val="00B810F1"/>
    <w:rsid w:val="00B85B11"/>
    <w:rsid w:val="00B905D2"/>
    <w:rsid w:val="00B949B6"/>
    <w:rsid w:val="00BA1835"/>
    <w:rsid w:val="00BA6641"/>
    <w:rsid w:val="00BB43E8"/>
    <w:rsid w:val="00BC23E5"/>
    <w:rsid w:val="00BC631B"/>
    <w:rsid w:val="00BE1482"/>
    <w:rsid w:val="00BF50CF"/>
    <w:rsid w:val="00C11D0C"/>
    <w:rsid w:val="00C14CDA"/>
    <w:rsid w:val="00C21DA5"/>
    <w:rsid w:val="00C27D21"/>
    <w:rsid w:val="00C37877"/>
    <w:rsid w:val="00C4639A"/>
    <w:rsid w:val="00C467ED"/>
    <w:rsid w:val="00C47D3F"/>
    <w:rsid w:val="00C57891"/>
    <w:rsid w:val="00C57EA2"/>
    <w:rsid w:val="00C6174F"/>
    <w:rsid w:val="00C64067"/>
    <w:rsid w:val="00C64CC2"/>
    <w:rsid w:val="00C672C6"/>
    <w:rsid w:val="00C736FB"/>
    <w:rsid w:val="00C84CF9"/>
    <w:rsid w:val="00C94FDE"/>
    <w:rsid w:val="00C96757"/>
    <w:rsid w:val="00C968F2"/>
    <w:rsid w:val="00CB417D"/>
    <w:rsid w:val="00CB4B73"/>
    <w:rsid w:val="00CC0ED9"/>
    <w:rsid w:val="00CC4BDF"/>
    <w:rsid w:val="00CC7D33"/>
    <w:rsid w:val="00CD4948"/>
    <w:rsid w:val="00CD507C"/>
    <w:rsid w:val="00CD6516"/>
    <w:rsid w:val="00CE5704"/>
    <w:rsid w:val="00CF090D"/>
    <w:rsid w:val="00CF647E"/>
    <w:rsid w:val="00CF6CA5"/>
    <w:rsid w:val="00D00C22"/>
    <w:rsid w:val="00D03CA6"/>
    <w:rsid w:val="00D07F9F"/>
    <w:rsid w:val="00D17C66"/>
    <w:rsid w:val="00D23DCC"/>
    <w:rsid w:val="00D26A7B"/>
    <w:rsid w:val="00D302A1"/>
    <w:rsid w:val="00D344CD"/>
    <w:rsid w:val="00D351F6"/>
    <w:rsid w:val="00D366EC"/>
    <w:rsid w:val="00D37B43"/>
    <w:rsid w:val="00D40DA4"/>
    <w:rsid w:val="00D4564B"/>
    <w:rsid w:val="00D5039C"/>
    <w:rsid w:val="00D54627"/>
    <w:rsid w:val="00D634E6"/>
    <w:rsid w:val="00D7279B"/>
    <w:rsid w:val="00D77AA3"/>
    <w:rsid w:val="00D82F45"/>
    <w:rsid w:val="00D951B7"/>
    <w:rsid w:val="00D9768F"/>
    <w:rsid w:val="00DC0597"/>
    <w:rsid w:val="00DC117F"/>
    <w:rsid w:val="00DC3D0A"/>
    <w:rsid w:val="00DC4751"/>
    <w:rsid w:val="00DC50B8"/>
    <w:rsid w:val="00DC6379"/>
    <w:rsid w:val="00DD0D6E"/>
    <w:rsid w:val="00DD28BB"/>
    <w:rsid w:val="00DD2E1C"/>
    <w:rsid w:val="00DD39E9"/>
    <w:rsid w:val="00DD3D47"/>
    <w:rsid w:val="00DD7D80"/>
    <w:rsid w:val="00DE279F"/>
    <w:rsid w:val="00DE5D33"/>
    <w:rsid w:val="00DE682C"/>
    <w:rsid w:val="00DE7187"/>
    <w:rsid w:val="00DF50DC"/>
    <w:rsid w:val="00DF5A66"/>
    <w:rsid w:val="00E0353E"/>
    <w:rsid w:val="00E1723E"/>
    <w:rsid w:val="00E23E35"/>
    <w:rsid w:val="00E2480C"/>
    <w:rsid w:val="00E25A45"/>
    <w:rsid w:val="00E26598"/>
    <w:rsid w:val="00E3141E"/>
    <w:rsid w:val="00E32BFF"/>
    <w:rsid w:val="00E335DD"/>
    <w:rsid w:val="00E42C80"/>
    <w:rsid w:val="00E44D78"/>
    <w:rsid w:val="00E46803"/>
    <w:rsid w:val="00E517FC"/>
    <w:rsid w:val="00E51BB6"/>
    <w:rsid w:val="00E52CEC"/>
    <w:rsid w:val="00E56583"/>
    <w:rsid w:val="00E57421"/>
    <w:rsid w:val="00E74670"/>
    <w:rsid w:val="00E8792F"/>
    <w:rsid w:val="00E92701"/>
    <w:rsid w:val="00E979FA"/>
    <w:rsid w:val="00EA0B29"/>
    <w:rsid w:val="00EA412F"/>
    <w:rsid w:val="00EB0545"/>
    <w:rsid w:val="00EB3803"/>
    <w:rsid w:val="00EB6E4D"/>
    <w:rsid w:val="00EB7A29"/>
    <w:rsid w:val="00ED26BA"/>
    <w:rsid w:val="00ED57D0"/>
    <w:rsid w:val="00ED5A5E"/>
    <w:rsid w:val="00ED6915"/>
    <w:rsid w:val="00EE1A2D"/>
    <w:rsid w:val="00EE44BB"/>
    <w:rsid w:val="00EE56F4"/>
    <w:rsid w:val="00EF0C73"/>
    <w:rsid w:val="00EF3DB7"/>
    <w:rsid w:val="00F04492"/>
    <w:rsid w:val="00F05554"/>
    <w:rsid w:val="00F06CF0"/>
    <w:rsid w:val="00F0725F"/>
    <w:rsid w:val="00F117C3"/>
    <w:rsid w:val="00F118F6"/>
    <w:rsid w:val="00F15089"/>
    <w:rsid w:val="00F16AB5"/>
    <w:rsid w:val="00F217EC"/>
    <w:rsid w:val="00F24034"/>
    <w:rsid w:val="00F250BD"/>
    <w:rsid w:val="00F254AB"/>
    <w:rsid w:val="00F314EB"/>
    <w:rsid w:val="00F31EDB"/>
    <w:rsid w:val="00F344D7"/>
    <w:rsid w:val="00F37DAB"/>
    <w:rsid w:val="00F54CFA"/>
    <w:rsid w:val="00F5669D"/>
    <w:rsid w:val="00F56C2D"/>
    <w:rsid w:val="00F61CE8"/>
    <w:rsid w:val="00F72A7B"/>
    <w:rsid w:val="00F7614C"/>
    <w:rsid w:val="00F8265A"/>
    <w:rsid w:val="00F85143"/>
    <w:rsid w:val="00F92F8F"/>
    <w:rsid w:val="00F96E88"/>
    <w:rsid w:val="00FA3DE6"/>
    <w:rsid w:val="00FA5F89"/>
    <w:rsid w:val="00FB039F"/>
    <w:rsid w:val="00FB11E3"/>
    <w:rsid w:val="00FB3B70"/>
    <w:rsid w:val="00FC6B75"/>
    <w:rsid w:val="00FC7FB0"/>
    <w:rsid w:val="00FD2395"/>
    <w:rsid w:val="00FE240C"/>
    <w:rsid w:val="00FE29A3"/>
    <w:rsid w:val="00FE402E"/>
    <w:rsid w:val="00FE5DAA"/>
    <w:rsid w:val="00FF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A74D94-3E24-4E87-96F0-9FC84E86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F5"/>
    <w:rPr>
      <w:sz w:val="24"/>
      <w:szCs w:val="24"/>
      <w:lang w:val="en-US" w:eastAsia="en-US"/>
    </w:rPr>
  </w:style>
  <w:style w:type="paragraph" w:styleId="Titre1">
    <w:name w:val="heading 1"/>
    <w:basedOn w:val="Normal"/>
    <w:next w:val="Normal"/>
    <w:link w:val="Titre1Car"/>
    <w:qFormat/>
    <w:rsid w:val="00EB0545"/>
    <w:pPr>
      <w:keepNext/>
      <w:pBdr>
        <w:bottom w:val="single" w:sz="4" w:space="1" w:color="auto"/>
      </w:pBdr>
      <w:spacing w:before="240" w:after="60"/>
      <w:outlineLvl w:val="0"/>
    </w:pPr>
    <w:rPr>
      <w:rFonts w:ascii="Cambria" w:hAnsi="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0DA4"/>
    <w:pPr>
      <w:ind w:left="720"/>
      <w:contextualSpacing/>
    </w:pPr>
  </w:style>
  <w:style w:type="paragraph" w:styleId="Titre">
    <w:name w:val="Title"/>
    <w:basedOn w:val="Normal"/>
    <w:next w:val="Normal"/>
    <w:link w:val="TitreCar"/>
    <w:qFormat/>
    <w:rsid w:val="00952489"/>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rsid w:val="00952489"/>
    <w:rPr>
      <w:rFonts w:ascii="Cambria" w:eastAsia="Times New Roman" w:hAnsi="Cambria" w:cs="Times New Roman"/>
      <w:b/>
      <w:bCs/>
      <w:kern w:val="28"/>
      <w:sz w:val="32"/>
      <w:szCs w:val="32"/>
    </w:rPr>
  </w:style>
  <w:style w:type="character" w:customStyle="1" w:styleId="Titre1Car">
    <w:name w:val="Titre 1 Car"/>
    <w:basedOn w:val="Policepardfaut"/>
    <w:link w:val="Titre1"/>
    <w:rsid w:val="00EB0545"/>
    <w:rPr>
      <w:rFonts w:ascii="Cambria" w:hAnsi="Cambria"/>
      <w:b/>
      <w:bCs/>
      <w:kern w:val="32"/>
      <w:sz w:val="32"/>
      <w:szCs w:val="32"/>
    </w:rPr>
  </w:style>
  <w:style w:type="paragraph" w:customStyle="1" w:styleId="Code">
    <w:name w:val="Code"/>
    <w:basedOn w:val="Normal"/>
    <w:link w:val="CodeChar"/>
    <w:qFormat/>
    <w:rsid w:val="00DC117F"/>
    <w:pPr>
      <w:numPr>
        <w:numId w:val="2"/>
      </w:numPr>
    </w:pPr>
    <w:rPr>
      <w:b/>
    </w:rPr>
  </w:style>
  <w:style w:type="table" w:styleId="Grilledutableau">
    <w:name w:val="Table Grid"/>
    <w:basedOn w:val="TableauNormal"/>
    <w:rsid w:val="00E927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Char">
    <w:name w:val="Code Char"/>
    <w:basedOn w:val="Policepardfaut"/>
    <w:link w:val="Code"/>
    <w:rsid w:val="00DC117F"/>
    <w:rPr>
      <w:b/>
      <w:sz w:val="24"/>
      <w:szCs w:val="24"/>
    </w:rPr>
  </w:style>
  <w:style w:type="character" w:styleId="Lienhypertexte">
    <w:name w:val="Hyperlink"/>
    <w:basedOn w:val="Policepardfaut"/>
    <w:rsid w:val="00345290"/>
    <w:rPr>
      <w:color w:val="0000FF"/>
      <w:u w:val="single"/>
    </w:rPr>
  </w:style>
  <w:style w:type="paragraph" w:styleId="En-tte">
    <w:name w:val="header"/>
    <w:basedOn w:val="Normal"/>
    <w:link w:val="En-tteCar"/>
    <w:rsid w:val="000B1C19"/>
    <w:pPr>
      <w:tabs>
        <w:tab w:val="center" w:pos="4680"/>
        <w:tab w:val="right" w:pos="9360"/>
      </w:tabs>
    </w:pPr>
  </w:style>
  <w:style w:type="character" w:customStyle="1" w:styleId="En-tteCar">
    <w:name w:val="En-tête Car"/>
    <w:basedOn w:val="Policepardfaut"/>
    <w:link w:val="En-tte"/>
    <w:rsid w:val="000B1C19"/>
    <w:rPr>
      <w:sz w:val="24"/>
      <w:szCs w:val="24"/>
    </w:rPr>
  </w:style>
  <w:style w:type="paragraph" w:styleId="Pieddepage">
    <w:name w:val="footer"/>
    <w:basedOn w:val="Normal"/>
    <w:link w:val="PieddepageCar"/>
    <w:rsid w:val="000B1C19"/>
    <w:pPr>
      <w:tabs>
        <w:tab w:val="center" w:pos="4680"/>
        <w:tab w:val="right" w:pos="9360"/>
      </w:tabs>
    </w:pPr>
  </w:style>
  <w:style w:type="character" w:customStyle="1" w:styleId="PieddepageCar">
    <w:name w:val="Pied de page Car"/>
    <w:basedOn w:val="Policepardfaut"/>
    <w:link w:val="Pieddepage"/>
    <w:rsid w:val="000B1C19"/>
    <w:rPr>
      <w:sz w:val="24"/>
      <w:szCs w:val="24"/>
    </w:rPr>
  </w:style>
  <w:style w:type="paragraph" w:styleId="Textedebulles">
    <w:name w:val="Balloon Text"/>
    <w:basedOn w:val="Normal"/>
    <w:link w:val="TextedebullesCar"/>
    <w:rsid w:val="0080622C"/>
    <w:rPr>
      <w:rFonts w:ascii="Tahoma" w:hAnsi="Tahoma" w:cs="Tahoma"/>
      <w:sz w:val="16"/>
      <w:szCs w:val="16"/>
    </w:rPr>
  </w:style>
  <w:style w:type="character" w:customStyle="1" w:styleId="TextedebullesCar">
    <w:name w:val="Texte de bulles Car"/>
    <w:basedOn w:val="Policepardfaut"/>
    <w:link w:val="Textedebulles"/>
    <w:rsid w:val="0080622C"/>
    <w:rPr>
      <w:rFonts w:ascii="Tahoma" w:hAnsi="Tahoma" w:cs="Tahoma"/>
      <w:sz w:val="16"/>
      <w:szCs w:val="16"/>
      <w:lang w:val="en-US" w:eastAsia="en-US"/>
    </w:rPr>
  </w:style>
  <w:style w:type="paragraph" w:customStyle="1" w:styleId="Default">
    <w:name w:val="Default"/>
    <w:rsid w:val="0078750F"/>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B732FE"/>
    <w:pPr>
      <w:spacing w:before="100" w:beforeAutospacing="1" w:after="100" w:afterAutospacing="1"/>
    </w:pPr>
  </w:style>
  <w:style w:type="character" w:styleId="Accentuation">
    <w:name w:val="Emphasis"/>
    <w:basedOn w:val="Policepardfaut"/>
    <w:qFormat/>
    <w:rsid w:val="00555BAE"/>
    <w:rPr>
      <w:i/>
      <w:iCs/>
    </w:rPr>
  </w:style>
  <w:style w:type="character" w:customStyle="1" w:styleId="A12">
    <w:name w:val="A12"/>
    <w:uiPriority w:val="99"/>
    <w:rsid w:val="00555BAE"/>
    <w:rPr>
      <w:color w:val="000000"/>
      <w:sz w:val="15"/>
      <w:szCs w:val="15"/>
    </w:rPr>
  </w:style>
  <w:style w:type="paragraph" w:customStyle="1" w:styleId="myspan">
    <w:name w:val="myspan"/>
    <w:basedOn w:val="Normal"/>
    <w:rsid w:val="00B67391"/>
    <w:pPr>
      <w:spacing w:before="100" w:beforeAutospacing="1" w:after="100" w:afterAutospacing="1"/>
    </w:pPr>
  </w:style>
  <w:style w:type="character" w:customStyle="1" w:styleId="apple-converted-space">
    <w:name w:val="apple-converted-space"/>
    <w:basedOn w:val="Policepardfaut"/>
    <w:rsid w:val="00B67391"/>
  </w:style>
  <w:style w:type="paragraph" w:styleId="PrformatHTML">
    <w:name w:val="HTML Preformatted"/>
    <w:basedOn w:val="Normal"/>
    <w:link w:val="PrformatHTMLCar"/>
    <w:uiPriority w:val="99"/>
    <w:semiHidden/>
    <w:unhideWhenUsed/>
    <w:rsid w:val="00B6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B67391"/>
    <w:rPr>
      <w:rFonts w:ascii="Courier New" w:hAnsi="Courier New" w:cs="Courier New"/>
      <w:lang w:val="en-US" w:eastAsia="en-US"/>
    </w:rPr>
  </w:style>
  <w:style w:type="character" w:styleId="CodeHTML">
    <w:name w:val="HTML Code"/>
    <w:basedOn w:val="Policepardfaut"/>
    <w:uiPriority w:val="99"/>
    <w:semiHidden/>
    <w:unhideWhenUsed/>
    <w:rsid w:val="00B67391"/>
    <w:rPr>
      <w:rFonts w:ascii="Courier New" w:eastAsia="Times New Roman" w:hAnsi="Courier New" w:cs="Courier New"/>
      <w:sz w:val="20"/>
      <w:szCs w:val="20"/>
    </w:rPr>
  </w:style>
  <w:style w:type="character" w:customStyle="1" w:styleId="kwd">
    <w:name w:val="kwd"/>
    <w:basedOn w:val="Policepardfaut"/>
    <w:rsid w:val="0005302E"/>
  </w:style>
  <w:style w:type="character" w:customStyle="1" w:styleId="pln">
    <w:name w:val="pln"/>
    <w:basedOn w:val="Policepardfaut"/>
    <w:rsid w:val="0005302E"/>
  </w:style>
  <w:style w:type="character" w:customStyle="1" w:styleId="pun">
    <w:name w:val="pun"/>
    <w:basedOn w:val="Policepardfaut"/>
    <w:rsid w:val="0005302E"/>
  </w:style>
  <w:style w:type="character" w:customStyle="1" w:styleId="lit">
    <w:name w:val="lit"/>
    <w:basedOn w:val="Policepardfaut"/>
    <w:rsid w:val="0005302E"/>
  </w:style>
  <w:style w:type="character" w:customStyle="1" w:styleId="str">
    <w:name w:val="str"/>
    <w:basedOn w:val="Policepardfaut"/>
    <w:rsid w:val="0005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8629">
      <w:bodyDiv w:val="1"/>
      <w:marLeft w:val="0"/>
      <w:marRight w:val="0"/>
      <w:marTop w:val="0"/>
      <w:marBottom w:val="0"/>
      <w:divBdr>
        <w:top w:val="none" w:sz="0" w:space="0" w:color="auto"/>
        <w:left w:val="none" w:sz="0" w:space="0" w:color="auto"/>
        <w:bottom w:val="none" w:sz="0" w:space="0" w:color="auto"/>
        <w:right w:val="none" w:sz="0" w:space="0" w:color="auto"/>
      </w:divBdr>
    </w:div>
    <w:div w:id="446394059">
      <w:bodyDiv w:val="1"/>
      <w:marLeft w:val="0"/>
      <w:marRight w:val="0"/>
      <w:marTop w:val="0"/>
      <w:marBottom w:val="0"/>
      <w:divBdr>
        <w:top w:val="none" w:sz="0" w:space="0" w:color="auto"/>
        <w:left w:val="none" w:sz="0" w:space="0" w:color="auto"/>
        <w:bottom w:val="none" w:sz="0" w:space="0" w:color="auto"/>
        <w:right w:val="none" w:sz="0" w:space="0" w:color="auto"/>
      </w:divBdr>
    </w:div>
    <w:div w:id="517888711">
      <w:bodyDiv w:val="1"/>
      <w:marLeft w:val="0"/>
      <w:marRight w:val="0"/>
      <w:marTop w:val="0"/>
      <w:marBottom w:val="0"/>
      <w:divBdr>
        <w:top w:val="none" w:sz="0" w:space="0" w:color="auto"/>
        <w:left w:val="none" w:sz="0" w:space="0" w:color="auto"/>
        <w:bottom w:val="none" w:sz="0" w:space="0" w:color="auto"/>
        <w:right w:val="none" w:sz="0" w:space="0" w:color="auto"/>
      </w:divBdr>
    </w:div>
    <w:div w:id="541138022">
      <w:bodyDiv w:val="1"/>
      <w:marLeft w:val="0"/>
      <w:marRight w:val="0"/>
      <w:marTop w:val="0"/>
      <w:marBottom w:val="0"/>
      <w:divBdr>
        <w:top w:val="none" w:sz="0" w:space="0" w:color="auto"/>
        <w:left w:val="none" w:sz="0" w:space="0" w:color="auto"/>
        <w:bottom w:val="none" w:sz="0" w:space="0" w:color="auto"/>
        <w:right w:val="none" w:sz="0" w:space="0" w:color="auto"/>
      </w:divBdr>
    </w:div>
    <w:div w:id="691884706">
      <w:bodyDiv w:val="1"/>
      <w:marLeft w:val="0"/>
      <w:marRight w:val="0"/>
      <w:marTop w:val="0"/>
      <w:marBottom w:val="0"/>
      <w:divBdr>
        <w:top w:val="none" w:sz="0" w:space="0" w:color="auto"/>
        <w:left w:val="none" w:sz="0" w:space="0" w:color="auto"/>
        <w:bottom w:val="none" w:sz="0" w:space="0" w:color="auto"/>
        <w:right w:val="none" w:sz="0" w:space="0" w:color="auto"/>
      </w:divBdr>
    </w:div>
    <w:div w:id="928778396">
      <w:bodyDiv w:val="1"/>
      <w:marLeft w:val="0"/>
      <w:marRight w:val="0"/>
      <w:marTop w:val="0"/>
      <w:marBottom w:val="0"/>
      <w:divBdr>
        <w:top w:val="none" w:sz="0" w:space="0" w:color="auto"/>
        <w:left w:val="none" w:sz="0" w:space="0" w:color="auto"/>
        <w:bottom w:val="none" w:sz="0" w:space="0" w:color="auto"/>
        <w:right w:val="none" w:sz="0" w:space="0" w:color="auto"/>
      </w:divBdr>
    </w:div>
    <w:div w:id="1213077729">
      <w:bodyDiv w:val="1"/>
      <w:marLeft w:val="0"/>
      <w:marRight w:val="0"/>
      <w:marTop w:val="0"/>
      <w:marBottom w:val="0"/>
      <w:divBdr>
        <w:top w:val="none" w:sz="0" w:space="0" w:color="auto"/>
        <w:left w:val="none" w:sz="0" w:space="0" w:color="auto"/>
        <w:bottom w:val="none" w:sz="0" w:space="0" w:color="auto"/>
        <w:right w:val="none" w:sz="0" w:space="0" w:color="auto"/>
      </w:divBdr>
    </w:div>
    <w:div w:id="1339624610">
      <w:bodyDiv w:val="1"/>
      <w:marLeft w:val="0"/>
      <w:marRight w:val="0"/>
      <w:marTop w:val="0"/>
      <w:marBottom w:val="0"/>
      <w:divBdr>
        <w:top w:val="none" w:sz="0" w:space="0" w:color="auto"/>
        <w:left w:val="none" w:sz="0" w:space="0" w:color="auto"/>
        <w:bottom w:val="none" w:sz="0" w:space="0" w:color="auto"/>
        <w:right w:val="none" w:sz="0" w:space="0" w:color="auto"/>
      </w:divBdr>
    </w:div>
    <w:div w:id="1460301340">
      <w:bodyDiv w:val="1"/>
      <w:marLeft w:val="0"/>
      <w:marRight w:val="0"/>
      <w:marTop w:val="0"/>
      <w:marBottom w:val="0"/>
      <w:divBdr>
        <w:top w:val="none" w:sz="0" w:space="0" w:color="auto"/>
        <w:left w:val="none" w:sz="0" w:space="0" w:color="auto"/>
        <w:bottom w:val="none" w:sz="0" w:space="0" w:color="auto"/>
        <w:right w:val="none" w:sz="0" w:space="0" w:color="auto"/>
      </w:divBdr>
    </w:div>
    <w:div w:id="1560943409">
      <w:bodyDiv w:val="1"/>
      <w:marLeft w:val="0"/>
      <w:marRight w:val="0"/>
      <w:marTop w:val="0"/>
      <w:marBottom w:val="0"/>
      <w:divBdr>
        <w:top w:val="none" w:sz="0" w:space="0" w:color="auto"/>
        <w:left w:val="none" w:sz="0" w:space="0" w:color="auto"/>
        <w:bottom w:val="none" w:sz="0" w:space="0" w:color="auto"/>
        <w:right w:val="none" w:sz="0" w:space="0" w:color="auto"/>
      </w:divBdr>
    </w:div>
    <w:div w:id="1574852121">
      <w:bodyDiv w:val="1"/>
      <w:marLeft w:val="0"/>
      <w:marRight w:val="0"/>
      <w:marTop w:val="0"/>
      <w:marBottom w:val="0"/>
      <w:divBdr>
        <w:top w:val="none" w:sz="0" w:space="0" w:color="auto"/>
        <w:left w:val="none" w:sz="0" w:space="0" w:color="auto"/>
        <w:bottom w:val="none" w:sz="0" w:space="0" w:color="auto"/>
        <w:right w:val="none" w:sz="0" w:space="0" w:color="auto"/>
      </w:divBdr>
    </w:div>
    <w:div w:id="1576743439">
      <w:bodyDiv w:val="1"/>
      <w:marLeft w:val="0"/>
      <w:marRight w:val="0"/>
      <w:marTop w:val="0"/>
      <w:marBottom w:val="0"/>
      <w:divBdr>
        <w:top w:val="none" w:sz="0" w:space="0" w:color="auto"/>
        <w:left w:val="none" w:sz="0" w:space="0" w:color="auto"/>
        <w:bottom w:val="none" w:sz="0" w:space="0" w:color="auto"/>
        <w:right w:val="none" w:sz="0" w:space="0" w:color="auto"/>
      </w:divBdr>
    </w:div>
    <w:div w:id="1591505634">
      <w:bodyDiv w:val="1"/>
      <w:marLeft w:val="0"/>
      <w:marRight w:val="0"/>
      <w:marTop w:val="0"/>
      <w:marBottom w:val="0"/>
      <w:divBdr>
        <w:top w:val="none" w:sz="0" w:space="0" w:color="auto"/>
        <w:left w:val="none" w:sz="0" w:space="0" w:color="auto"/>
        <w:bottom w:val="none" w:sz="0" w:space="0" w:color="auto"/>
        <w:right w:val="none" w:sz="0" w:space="0" w:color="auto"/>
      </w:divBdr>
    </w:div>
    <w:div w:id="1597130460">
      <w:bodyDiv w:val="1"/>
      <w:marLeft w:val="0"/>
      <w:marRight w:val="0"/>
      <w:marTop w:val="0"/>
      <w:marBottom w:val="0"/>
      <w:divBdr>
        <w:top w:val="none" w:sz="0" w:space="0" w:color="auto"/>
        <w:left w:val="none" w:sz="0" w:space="0" w:color="auto"/>
        <w:bottom w:val="none" w:sz="0" w:space="0" w:color="auto"/>
        <w:right w:val="none" w:sz="0" w:space="0" w:color="auto"/>
      </w:divBdr>
    </w:div>
    <w:div w:id="1791701900">
      <w:bodyDiv w:val="1"/>
      <w:marLeft w:val="0"/>
      <w:marRight w:val="0"/>
      <w:marTop w:val="0"/>
      <w:marBottom w:val="0"/>
      <w:divBdr>
        <w:top w:val="none" w:sz="0" w:space="0" w:color="auto"/>
        <w:left w:val="none" w:sz="0" w:space="0" w:color="auto"/>
        <w:bottom w:val="none" w:sz="0" w:space="0" w:color="auto"/>
        <w:right w:val="none" w:sz="0" w:space="0" w:color="auto"/>
      </w:divBdr>
    </w:div>
    <w:div w:id="1914853117">
      <w:bodyDiv w:val="1"/>
      <w:marLeft w:val="0"/>
      <w:marRight w:val="0"/>
      <w:marTop w:val="0"/>
      <w:marBottom w:val="0"/>
      <w:divBdr>
        <w:top w:val="none" w:sz="0" w:space="0" w:color="auto"/>
        <w:left w:val="none" w:sz="0" w:space="0" w:color="auto"/>
        <w:bottom w:val="none" w:sz="0" w:space="0" w:color="auto"/>
        <w:right w:val="none" w:sz="0" w:space="0" w:color="auto"/>
      </w:divBdr>
    </w:div>
    <w:div w:id="206382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62A2D-EDD1-4393-8FEE-D1F9A38C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654</Words>
  <Characters>3731</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gameloft</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RCCodru</dc:creator>
  <cp:lastModifiedBy>Benjamin Devienne</cp:lastModifiedBy>
  <cp:revision>5</cp:revision>
  <dcterms:created xsi:type="dcterms:W3CDTF">2015-08-19T18:25:00Z</dcterms:created>
  <dcterms:modified xsi:type="dcterms:W3CDTF">2015-11-16T23:47:00Z</dcterms:modified>
</cp:coreProperties>
</file>