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3.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6.png" ContentType="image/png"/>
  <Override PartName="/word/media/rId35.png" ContentType="image/png"/>
  <Override PartName="/word/media/rId32.png" ContentType="image/png"/>
  <Override PartName="/word/media/rId39.png" ContentType="image/png"/>
  <Override PartName="/word/media/rId38.png" ContentType="image/png"/>
  <Override PartName="/word/media/rId33.png" ContentType="image/png"/>
  <Override PartName="/word/media/rId27.png" ContentType="image/png"/>
  <Override PartName="/word/media/image9.png" ContentType="image/png"/>
  <Override PartName="/word/media/image6.png" ContentType="image/png"/>
  <Override PartName="/word/media/image7.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Going</w:t>
      </w:r>
      <w:r>
        <w:t xml:space="preserve"> </w:t>
      </w:r>
      <w:r>
        <w:t xml:space="preserve">from</w:t>
      </w:r>
      <w:r>
        <w:t xml:space="preserve"> </w:t>
      </w:r>
      <w:r>
        <w:t xml:space="preserve">coarse</w:t>
      </w:r>
      <w:r>
        <w:t xml:space="preserve"> </w:t>
      </w:r>
      <w:r>
        <w:t xml:space="preserve">landings</w:t>
      </w:r>
      <w:r>
        <w:t xml:space="preserve"> </w:t>
      </w:r>
      <w:r>
        <w:t xml:space="preserve">data</w:t>
      </w:r>
      <w:r>
        <w:t xml:space="preserve"> </w:t>
      </w:r>
      <w:r>
        <w:t xml:space="preserve">to</w:t>
      </w:r>
      <w:r>
        <w:t xml:space="preserve"> </w:t>
      </w:r>
      <w:r>
        <w:t xml:space="preserve">fine</w:t>
      </w:r>
      <w:r>
        <w:t xml:space="preserve"> </w:t>
      </w:r>
      <w:r>
        <w:t xml:space="preserve">scale</w:t>
      </w:r>
      <w:r>
        <w:t xml:space="preserve"> </w:t>
      </w:r>
      <w:r>
        <w:t xml:space="preserve">species</w:t>
      </w:r>
      <w:r>
        <w:t xml:space="preserve"> </w:t>
      </w:r>
      <w:r>
        <w:t xml:space="preserve">distribution</w:t>
      </w:r>
    </w:p>
    <w:p>
      <w:pPr>
        <w:pStyle w:val="Author"/>
      </w:pPr>
      <w:r>
        <w:t xml:space="preserve">Author1</w:t>
      </w:r>
      <w:r>
        <w:rPr>
          <w:vertAlign w:val="superscript"/>
        </w:rPr>
        <w:t xml:space="preserve">1</w:t>
      </w:r>
      <w:r>
        <w:t xml:space="preserve"> &amp; Author2</w:t>
      </w:r>
      <w:r>
        <w:rPr>
          <w:vertAlign w:val="superscript"/>
        </w:rPr>
        <w:t xml:space="preserve">1,2</w:t>
      </w:r>
    </w:p>
    <w:p>
      <w:pPr>
        <w:pStyle w:val="Author"/>
      </w:pPr>
      <w:r>
        <w:rPr>
          <w:vertAlign w:val="superscript"/>
        </w:rPr>
        <w:t xml:space="preserve">1</w:t>
      </w:r>
      <w:r>
        <w:t xml:space="preserve"> </w:t>
      </w:r>
      <w:r>
        <w:t xml:space="preserve">Instit1</w:t>
      </w:r>
    </w:p>
    <w:p>
      <w:pPr>
        <w:pStyle w:val="Author"/>
      </w:pPr>
      <w:r>
        <w:rPr>
          <w:vertAlign w:val="superscript"/>
        </w:rPr>
        <w:t xml:space="preserve">2</w:t>
      </w:r>
      <w:r>
        <w:t xml:space="preserve"> </w:t>
      </w:r>
      <w:r>
        <w:t xml:space="preserve">Instit2</w:t>
      </w:r>
    </w:p>
    <w:p>
      <w:pPr>
        <w:pStyle w:val="Compact"/>
      </w:pPr>
      <w:r>
        <w:t xml:space="preserve">                                                                                                                                                    </w:t>
      </w:r>
    </w:p>
    <w:p>
      <w:pPr>
        <w:pStyle w:val="Corpsdetexte"/>
      </w:pPr>
      <w:r>
        <w:t xml:space="preserve"> </w:t>
      </w:r>
    </w:p>
    <w:p>
      <w:pPr>
        <w:pStyle w:val="Corpsdetexte"/>
      </w:pPr>
      <w:r>
        <w:t xml:space="preserve"> </w:t>
      </w:r>
    </w:p>
    <w:p>
      <w:pPr>
        <w:pStyle w:val="Corpsdetexte"/>
      </w:pPr>
      <w:r>
        <w:t xml:space="preserve"> </w:t>
      </w:r>
    </w:p>
    <w:p>
      <w:pPr>
        <w:pStyle w:val="Corpsdetexte"/>
      </w:pPr>
      <w:r>
        <w:t xml:space="preserve"> </w:t>
      </w:r>
    </w:p>
    <w:p>
      <w:pPr>
        <w:pStyle w:val="Corpsdetexte"/>
      </w:pPr>
      <w:r>
        <w:t xml:space="preserve"> </w:t>
      </w:r>
    </w:p>
    <w:p>
      <w:pPr>
        <w:pStyle w:val="Corpsdetexte"/>
      </w:pPr>
      <w:r>
        <w:t xml:space="preserve"> </w:t>
      </w:r>
    </w:p>
    <w:p>
      <w:pPr>
        <w:pStyle w:val="Author"/>
      </w:pPr>
      <w:r>
        <w:t xml:space="preserve">Author note</w:t>
      </w:r>
    </w:p>
    <w:p>
      <w:pPr>
        <w:pStyle w:val="Corpsdetexte"/>
      </w:pPr>
      <w:r>
        <w:t xml:space="preserve">Test</w:t>
      </w:r>
    </w:p>
    <w:p>
      <w:pPr>
        <w:pStyle w:val="Corpsdetexte"/>
      </w:pPr>
      <w:r>
        <w:t xml:space="preserve">The authors made the following contributions. Author1: Conceptualization, Writing - Original Draft Preparation, Writing - Review &amp; Editing; Author2: Writing - Review &amp; Editing.</w:t>
      </w:r>
    </w:p>
    <w:p>
      <w:pPr>
        <w:pStyle w:val="Corpsdetexte"/>
      </w:pPr>
      <w:r>
        <w:t xml:space="preserve">Correspondence concerning this article should be addressed to Author1, Postal address. E-mail:</w:t>
      </w:r>
      <w:r>
        <w:t xml:space="preserve"> </w:t>
      </w:r>
      <w:hyperlink r:id="rId20">
        <w:r>
          <w:rPr>
            <w:rStyle w:val="Hyperlink"/>
          </w:rPr>
          <w:t xml:space="preserve">my@email.com</w:t>
        </w:r>
      </w:hyperlink>
    </w:p>
    <w:p>
      <w:pPr>
        <w:pStyle w:val="Compact"/>
        <w:pStyle w:val="h1-pagebreak"/>
      </w:pPr>
      <w:r>
        <w:t xml:space="preserve">Abstract</w:t>
      </w:r>
    </w:p>
    <w:p>
      <w:pPr>
        <w:pStyle w:val="Corpsdetexte"/>
      </w:pPr>
      <w:r>
        <w:t xml:space="preserve">Test</w:t>
      </w:r>
    </w:p>
    <w:p>
      <w:pPr>
        <w:pStyle w:val="Corpsdetexte"/>
      </w:pPr>
      <w:r>
        <w:rPr>
          <w:i/>
        </w:rPr>
        <w:t xml:space="preserve">Keywords:</w:t>
      </w:r>
      <w:r>
        <w:t xml:space="preserve"> </w:t>
      </w:r>
      <w:r>
        <w:t xml:space="preserve">keywords</w:t>
      </w:r>
    </w:p>
    <w:p>
      <w:pPr>
        <w:pStyle w:val="Corpsdetexte"/>
      </w:pPr>
      <w:r>
        <w:rPr>
          <w:i/>
        </w:rPr>
        <w:t xml:space="preserve">Word count:</w:t>
      </w:r>
      <w:r>
        <w:t xml:space="preserve"> </w:t>
      </w:r>
      <w:r>
        <w:t xml:space="preserve">X</w:t>
      </w:r>
    </w:p>
    <w:p>
      <w:pPr>
        <w:pStyle w:val="Compact"/>
        <w:pStyle w:val="h1-pagebreak"/>
      </w:pPr>
      <w:r>
        <w:t xml:space="preserve">Going from coarse landings data to fine scale species distribution</w:t>
      </w:r>
    </w:p>
    <w:p>
      <w:pPr>
        <w:pStyle w:val="Corpsdetexte"/>
      </w:pPr>
      <w:r>
        <w:t xml:space="preserve">References for change of support issues in integrated modelling:</w:t>
      </w:r>
    </w:p>
    <w:p>
      <w:pPr>
        <w:pStyle w:val="Corpsdetexte"/>
      </w:pPr>
      <w:hyperlink r:id="rId21">
        <w:r>
          <w:rPr>
            <w:rStyle w:val="Hyperlink"/>
          </w:rPr>
          <w:t xml:space="preserve">https://esajournals.onlinelibrary.wiley.com/doi/epdf/10.1002/ecy.2710</w:t>
        </w:r>
      </w:hyperlink>
    </w:p>
    <w:p>
      <w:pPr>
        <w:pStyle w:val="Corpsdetexte"/>
      </w:pPr>
      <w:hyperlink r:id="rId22">
        <w:r>
          <w:rPr>
            <w:rStyle w:val="Hyperlink"/>
          </w:rPr>
          <w:t xml:space="preserve">https://besjournals.onlinelibrary.wiley.com/doi/full/10.1111/2041-210X.12793</w:t>
        </w:r>
      </w:hyperlink>
    </w:p>
    <w:p>
      <w:pPr>
        <w:pStyle w:val="Corpsdetexte"/>
      </w:pPr>
      <w:hyperlink r:id="rId23">
        <w:r>
          <w:rPr>
            <w:rStyle w:val="Hyperlink"/>
          </w:rPr>
          <w:t xml:space="preserve">https://www.sciencedirect.com/science/article/pii/S0169534719302551#b0010</w:t>
        </w:r>
      </w:hyperlink>
    </w:p>
    <w:p>
      <w:pPr>
        <w:pStyle w:val="Corpsdetexte"/>
      </w:pPr>
      <w:hyperlink r:id="rId24">
        <w:r>
          <w:rPr>
            <w:rStyle w:val="Hyperlink"/>
          </w:rPr>
          <w:t xml:space="preserve">https://www.sciencedirect.com/science/article/pii/S0006320721001993</w:t>
        </w:r>
      </w:hyperlink>
    </w:p>
    <w:p>
      <w:pPr>
        <w:pStyle w:val="Titre1"/>
      </w:pPr>
      <w:bookmarkStart w:id="25" w:name="material-and-methods"/>
      <w:r>
        <w:t xml:space="preserve">Material and methods</w:t>
      </w:r>
      <w:bookmarkEnd w:id="25"/>
    </w:p>
    <w:p>
      <w:pPr>
        <w:pStyle w:val="FirstParagraph"/>
      </w:pPr>
      <w:r>
        <w:t xml:space="preserve">We base our approach on the model developped by</w:t>
      </w:r>
      <w:r>
        <w:t xml:space="preserve"> </w:t>
      </w:r>
      <w:r>
        <w:t xml:space="preserve">Alglave et al. (2022)</w:t>
      </w:r>
      <w:r>
        <w:t xml:space="preserve">. In this framework, all observations were supposed to be realised at the same scale. Here, we extend the framework to potentially provide fine scale predictions from data that have a coarse resolution (landings data) and potentially combine these data with other (more accurate) datasets such as scientific data.</w:t>
      </w:r>
    </w:p>
    <w:p>
      <w:pPr>
        <w:pStyle w:val="Titre2"/>
      </w:pPr>
      <w:bookmarkStart w:id="26" w:name="X0c63f9e2d2a93d98f67729cf2245f0023ca4761"/>
      <w:r>
        <w:t xml:space="preserve">Defining the problem from a modelling point of view</w:t>
      </w:r>
      <w:bookmarkEnd w:id="26"/>
    </w:p>
    <w:p>
      <w:pPr>
        <w:pStyle w:val="FirstParagraph"/>
      </w:pPr>
      <w:r>
        <w:rPr>
          <w:b/>
        </w:rPr>
        <w:t xml:space="preserve">Definition of the variables</w:t>
      </w:r>
    </w:p>
    <w:p>
      <w:pPr>
        <w:pStyle w:val="Corpsdetexte"/>
      </w:pPr>
      <w:r>
        <w:t xml:space="preserve">Let’s define the latent field</w:t>
      </w:r>
      <w:r>
        <w:t xml:space="preserve"> </w:t>
      </w:r>
      <m:oMath>
        <m:r>
          <m:t>S</m:t>
        </m:r>
      </m:oMath>
      <w:r>
        <w:t xml:space="preserve"> </w:t>
      </w:r>
      <w:r>
        <w:t xml:space="preserve">and the punctual observations</w:t>
      </w:r>
      <w:r>
        <w:t xml:space="preserve"> </w:t>
      </w:r>
      <m:oMath>
        <m:r>
          <m:t>Y</m:t>
        </m:r>
      </m:oMath>
      <w:r>
        <w:t xml:space="preserve">.</w:t>
      </w:r>
      <w:r>
        <w:t xml:space="preserve"> </w:t>
      </w:r>
      <m:oMath>
        <m:r>
          <m:t>S</m:t>
        </m:r>
      </m:oMath>
      <w:r>
        <w:t xml:space="preserve"> </w:t>
      </w:r>
      <w:r>
        <w:t xml:space="preserve">is a spatial log-Gaussian Field (GF) defined as</w:t>
      </w:r>
      <w:r>
        <w:t xml:space="preserve"> </w:t>
      </w:r>
      <m:oMath>
        <m:r>
          <m:rPr>
            <m:nor/>
            <m:sty m:val="p"/>
          </m:rPr>
          <m:t>log</m:t>
        </m:r>
        <m:r>
          <m:t>(</m:t>
        </m:r>
        <m:r>
          <m:t>S</m:t>
        </m:r>
        <m:r>
          <m:t>(</m:t>
        </m:r>
        <m:r>
          <m:t>x</m:t>
        </m:r>
        <m:r>
          <m:t>)</m:t>
        </m:r>
        <m:r>
          <m:t>)</m:t>
        </m:r>
        <m:r>
          <m:t>=</m:t>
        </m:r>
        <m:r>
          <m:t>μ</m:t>
        </m:r>
        <m:r>
          <m:t>+</m:t>
        </m:r>
        <m:r>
          <m:t>β</m:t>
        </m:r>
        <m:r>
          <m:t>.</m:t>
        </m:r>
        <m:r>
          <m:t>Γ</m:t>
        </m:r>
        <m:r>
          <m:t>(</m:t>
        </m:r>
        <m:r>
          <m:t>x</m:t>
        </m:r>
        <m:r>
          <m:t>)</m:t>
        </m:r>
        <m:r>
          <m:t>+</m:t>
        </m:r>
        <m:r>
          <m:t>δ</m:t>
        </m:r>
        <m:r>
          <m:t>(</m:t>
        </m:r>
        <m:r>
          <m:t>x</m:t>
        </m:r>
        <m:r>
          <m:t>)</m:t>
        </m:r>
      </m:oMath>
      <w:r>
        <w:t xml:space="preserve"> </w:t>
      </w:r>
      <w:r>
        <w:t xml:space="preserve">(Figure</w:t>
      </w:r>
      <w:r>
        <w:t xml:space="preserve"> </w:t>
      </w:r>
      <w:r>
        <w:t xml:space="preserve">1</w:t>
      </w:r>
      <w:r>
        <w:t xml:space="preserve">). We consider a discrete study domain where</w:t>
      </w:r>
      <w:r>
        <w:t xml:space="preserve"> </w:t>
      </w:r>
      <m:oMath>
        <m:r>
          <m:t>x</m:t>
        </m:r>
        <m:r>
          <m:t>∈</m:t>
        </m:r>
        <m:r>
          <m:t>[</m:t>
        </m:r>
        <m:r>
          <m:t>​</m:t>
        </m:r>
        <m:r>
          <m:t>[</m:t>
        </m:r>
        <m:r>
          <m:t>1</m:t>
        </m:r>
        <m:r>
          <m:t>,</m:t>
        </m:r>
        <m:r>
          <m:t>n</m:t>
        </m:r>
        <m:r>
          <m:t>]</m:t>
        </m:r>
        <m:r>
          <m:t>​</m:t>
        </m:r>
        <m:r>
          <m:t>]</m:t>
        </m:r>
      </m:oMath>
      <w:r>
        <w:t xml:space="preserve"> </w:t>
      </w:r>
      <w:r>
        <w:t xml:space="preserve">stands for the discrete locations.</w:t>
      </w:r>
      <w:r>
        <w:t xml:space="preserve"> </w:t>
      </w:r>
      <m:oMath>
        <m:r>
          <m:t>β</m:t>
        </m:r>
        <m:r>
          <m:t>.</m:t>
        </m:r>
        <m:r>
          <m:t>Γ</m:t>
        </m:r>
        <m:r>
          <m:t>(</m:t>
        </m:r>
        <m:r>
          <m:t>x</m:t>
        </m:r>
        <m:r>
          <m:t>)</m:t>
        </m:r>
      </m:oMath>
      <w:r>
        <w:t xml:space="preserve"> </w:t>
      </w:r>
      <w:r>
        <w:t xml:space="preserve">is the covariate term with</w:t>
      </w:r>
      <w:r>
        <w:t xml:space="preserve"> </w:t>
      </w:r>
      <m:oMath>
        <m:r>
          <m:t>Γ</m:t>
        </m:r>
      </m:oMath>
      <w:r>
        <w:t xml:space="preserve"> </w:t>
      </w:r>
      <w:r>
        <w:t xml:space="preserve">the matrix of design of the covariates and</w:t>
      </w:r>
      <w:r>
        <w:t xml:space="preserve"> </w:t>
      </w:r>
      <m:oMath>
        <m:r>
          <m:t>β</m:t>
        </m:r>
      </m:oMath>
      <w:r>
        <w:t xml:space="preserve"> </w:t>
      </w:r>
      <w:r>
        <w:t xml:space="preserve">the effect of the covariates.</w:t>
      </w:r>
      <w:r>
        <w:t xml:space="preserve"> </w:t>
      </w:r>
      <m:oMath>
        <m:r>
          <m:t>δ</m:t>
        </m:r>
        <m:r>
          <m:t>(</m:t>
        </m:r>
        <m:r>
          <m:t>x</m:t>
        </m:r>
        <m:r>
          <m:t>)</m:t>
        </m:r>
      </m:oMath>
      <w:r>
        <w:t xml:space="preserve"> </w:t>
      </w:r>
      <w:r>
        <w:t xml:space="preserve">is a GF capturing spatial correlation (</w:t>
      </w:r>
      <m:oMath>
        <m:r>
          <m:t>δ</m:t>
        </m:r>
        <m:r>
          <m:t>∼</m:t>
        </m:r>
        <m:r>
          <m:rPr>
            <m:sty m:val="p"/>
            <m:scr m:val="script"/>
          </m:rPr>
          <m:t>N</m:t>
        </m:r>
        <m:r>
          <m:t>(</m:t>
        </m:r>
        <m:r>
          <m:t>0</m:t>
        </m:r>
        <m:r>
          <m:t>,</m:t>
        </m:r>
        <m:r>
          <m:t>Σ</m:t>
        </m:r>
        <m:r>
          <m:t>)</m:t>
        </m:r>
      </m:oMath>
      <w:r>
        <w:t xml:space="preserve">).</w:t>
      </w:r>
    </w:p>
    <w:p>
      <w:pPr>
        <w:pStyle w:val="Corpsdetexte"/>
      </w:pPr>
      <w:r>
        <w:t xml:space="preserve">All fishing locations</w:t>
      </w:r>
      <w:r>
        <w:t xml:space="preserve"> </w:t>
      </w:r>
      <m:oMath>
        <m:sSub>
          <m:e>
            <m:r>
              <m:t>x</m:t>
            </m:r>
          </m:e>
          <m:sub>
            <m:r>
              <m:t>i</m:t>
            </m:r>
          </m:sub>
        </m:sSub>
      </m:oMath>
      <w:r>
        <w:t xml:space="preserve"> </w:t>
      </w:r>
      <w:r>
        <w:t xml:space="preserve">are supposed to be known through VMS data. At each fishing location</w:t>
      </w:r>
      <w:r>
        <w:t xml:space="preserve"> </w:t>
      </w:r>
      <m:oMath>
        <m:sSub>
          <m:e>
            <m:r>
              <m:t>x</m:t>
            </m:r>
          </m:e>
          <m:sub>
            <m:r>
              <m:t>i</m:t>
            </m:r>
          </m:sub>
        </m:sSub>
      </m:oMath>
      <w:r>
        <w:t xml:space="preserve">, fishermen realize a catch</w:t>
      </w:r>
      <w:r>
        <w:t xml:space="preserve"> </w:t>
      </w:r>
      <m:oMath>
        <m:sSub>
          <m:e>
            <m:r>
              <m:t>Y</m:t>
            </m:r>
          </m:e>
          <m:sub>
            <m:r>
              <m:t>i</m:t>
            </m:r>
          </m:sub>
        </m:sSub>
      </m:oMath>
      <w:r>
        <w:t xml:space="preserve"> </w:t>
      </w:r>
      <w:r>
        <w:t xml:space="preserve">conditionnally on the latent field values (referred hereafter as a punctual catch). Observations are supposed to follow some distribution</w:t>
      </w:r>
      <w:r>
        <w:t xml:space="preserve"> </w:t>
      </w:r>
      <m:oMath>
        <m:sSub>
          <m:e>
            <m:r>
              <m:rPr>
                <m:sty m:val="p"/>
                <m:scr m:val="script"/>
              </m:rPr>
              <m:t>L</m:t>
            </m:r>
          </m:e>
          <m:sub>
            <m:r>
              <m:t>Y</m:t>
            </m:r>
          </m:sub>
        </m:sSub>
      </m:oMath>
      <w:r>
        <w:t xml:space="preserve">. In our case, observations are zero-inflated positive continuous data and they are modelled through a zero-inflated lognormal model previously introduced by</w:t>
      </w:r>
      <w:r>
        <w:t xml:space="preserve"> </w:t>
      </w:r>
      <w:r>
        <w:t xml:space="preserve">Thorson (2018)</w:t>
      </w:r>
      <w:r>
        <w:t xml:space="preserve"> </w:t>
      </w:r>
      <w:r>
        <w:t xml:space="preserve">and already used in</w:t>
      </w:r>
      <w:r>
        <w:t xml:space="preserve"> </w:t>
      </w:r>
      <w:r>
        <w:t xml:space="preserve">Alglave et al. (2022)</w:t>
      </w:r>
      <w:r>
        <w:t xml:space="preserve">.</w:t>
      </w:r>
    </w:p>
    <w:p>
      <w:pPr>
        <w:pStyle w:val="Corpsdetexte"/>
      </w:pPr>
      <m:oMathPara>
        <m:oMathParaPr>
          <m:jc m:val="center"/>
        </m:oMathParaPr>
        <m:oMath>
          <m:sSub>
            <m:e>
              <m:r>
                <m:t>Y</m:t>
              </m:r>
            </m:e>
            <m:sub>
              <m:r>
                <m:t>i</m:t>
              </m:r>
            </m:sub>
          </m:sSub>
          <m:r>
            <m:t>|</m:t>
          </m:r>
          <m:r>
            <m:t>S</m:t>
          </m:r>
          <m:r>
            <m:t>(</m:t>
          </m:r>
          <m:sSub>
            <m:e>
              <m:r>
                <m:t>x</m:t>
              </m:r>
            </m:e>
            <m:sub>
              <m:r>
                <m:t>i</m:t>
              </m:r>
            </m:sub>
          </m:sSub>
          <m:r>
            <m:t>)</m:t>
          </m:r>
          <m:r>
            <m:t>,</m:t>
          </m:r>
          <m:sSub>
            <m:e>
              <m:r>
                <m:t>x</m:t>
              </m:r>
            </m:e>
            <m:sub>
              <m:r>
                <m:t>i</m:t>
              </m:r>
            </m:sub>
          </m:sSub>
          <m:r>
            <m:t>∼</m:t>
          </m:r>
          <m:sSub>
            <m:e>
              <m:r>
                <m:rPr>
                  <m:sty m:val="p"/>
                  <m:scr m:val="script"/>
                </m:rPr>
                <m:t>L</m:t>
              </m:r>
            </m:e>
            <m:sub>
              <m:r>
                <m:t>Y</m:t>
              </m:r>
            </m:sub>
          </m:sSub>
          <m:r>
            <m:t>(</m:t>
          </m:r>
          <m:r>
            <m:t>S</m:t>
          </m:r>
          <m:r>
            <m:t>(</m:t>
          </m:r>
          <m:sSub>
            <m:e>
              <m:r>
                <m:t>x</m:t>
              </m:r>
            </m:e>
            <m:sub>
              <m:r>
                <m:t>i</m:t>
              </m:r>
            </m:sub>
          </m:sSub>
          <m:r>
            <m:t>)</m:t>
          </m:r>
          <m:r>
            <m:t>,</m:t>
          </m:r>
          <m:r>
            <m:t>ξ</m:t>
          </m:r>
          <m:r>
            <m:t>,</m:t>
          </m:r>
          <m:sSup>
            <m:e>
              <m:r>
                <m:t>σ</m:t>
              </m:r>
            </m:e>
            <m:sup>
              <m:r>
                <m:t>2</m:t>
              </m:r>
            </m:sup>
          </m:sSup>
          <m:r>
            <m:t>)</m:t>
          </m:r>
        </m:oMath>
      </m:oMathPara>
    </w:p>
    <w:p>
      <w:pPr>
        <w:pStyle w:val="FirstParagraph"/>
      </w:pPr>
      <m:oMath>
        <m:sSub>
          <m:e>
            <m:r>
              <m:rPr>
                <m:sty m:val="p"/>
                <m:scr m:val="script"/>
              </m:rPr>
              <m:t>L</m:t>
            </m:r>
          </m:e>
          <m:sub>
            <m:r>
              <m:t>Y</m:t>
            </m:r>
          </m:sub>
        </m:sSub>
      </m:oMath>
      <w:r>
        <w:t xml:space="preserve"> </w:t>
      </w:r>
      <w:r>
        <w:t xml:space="preserve">is decomposed it 2 parts:</w:t>
      </w:r>
    </w:p>
    <w:p>
      <w:pPr>
        <w:numPr>
          <w:numId w:val="1001"/>
          <w:ilvl w:val="0"/>
        </w:numPr>
      </w:pPr>
      <w:r>
        <w:t xml:space="preserve">the probability to obtain a zero-catch which is modelled as a Bernoulli variable with probability</w:t>
      </w:r>
      <w:r>
        <w:t xml:space="preserve"> </w:t>
      </w:r>
      <m:oMath>
        <m:sSub>
          <m:e>
            <m:r>
              <m:t>p</m:t>
            </m:r>
          </m:e>
          <m:sub>
            <m:r>
              <m:t>i</m:t>
            </m:r>
          </m:sub>
        </m:sSub>
        <m:r>
          <m:t>=</m:t>
        </m:r>
        <m:r>
          <m:rPr>
            <m:nor/>
            <m:sty m:val="p"/>
          </m:rPr>
          <m:t>exp</m:t>
        </m:r>
        <m:r>
          <m:t>(</m:t>
        </m:r>
        <m:r>
          <m:t>−</m:t>
        </m:r>
        <m:sSup>
          <m:e>
            <m:r>
              <m:t>e</m:t>
            </m:r>
          </m:e>
          <m:sup>
            <m:r>
              <m:t>ξ</m:t>
            </m:r>
          </m:sup>
        </m:sSup>
        <m:r>
          <m:t>.</m:t>
        </m:r>
        <m:r>
          <m:t>S</m:t>
        </m:r>
        <m:r>
          <m:t>(</m:t>
        </m:r>
        <m:sSub>
          <m:e>
            <m:r>
              <m:t>x</m:t>
            </m:r>
          </m:e>
          <m:sub>
            <m:r>
              <m:t>i</m:t>
            </m:r>
          </m:sub>
        </m:sSub>
        <m:r>
          <m:t>)</m:t>
        </m:r>
        <m:r>
          <m:t>)</m:t>
        </m:r>
      </m:oMath>
      <w:r>
        <w:t xml:space="preserve">.</w:t>
      </w:r>
      <w:r>
        <w:t xml:space="preserve"> </w:t>
      </w:r>
      <m:oMath>
        <m:r>
          <m:t>ξ</m:t>
        </m:r>
      </m:oMath>
      <w:r>
        <w:t xml:space="preserve"> </w:t>
      </w:r>
      <w:r>
        <w:t xml:space="preserve">is a parameter controlling zero-inflation. When</w:t>
      </w:r>
      <w:r>
        <w:t xml:space="preserve"> </w:t>
      </w:r>
      <m:oMath>
        <m:r>
          <m:t>ξ</m:t>
        </m:r>
      </m:oMath>
      <w:r>
        <w:t xml:space="preserve"> </w:t>
      </w:r>
      <w:r>
        <w:t xml:space="preserve">increases, the amount of zero in the data decreases.</w:t>
      </w:r>
    </w:p>
    <w:p>
      <w:pPr>
        <w:numPr>
          <w:numId w:val="1001"/>
          <w:ilvl w:val="0"/>
        </w:numPr>
      </w:pPr>
      <w:r>
        <w:t xml:space="preserve">if the catch is positive, the probability to obtain some observation value</w:t>
      </w:r>
      <w:r>
        <w:t xml:space="preserve"> </w:t>
      </w:r>
      <m:oMath>
        <m:sSub>
          <m:e>
            <m:r>
              <m:t>y</m:t>
            </m:r>
          </m:e>
          <m:sub>
            <m:r>
              <m:t>i</m:t>
            </m:r>
          </m:sub>
        </m:sSub>
      </m:oMath>
      <w:r>
        <w:t xml:space="preserve"> </w:t>
      </w:r>
      <w:r>
        <w:t xml:space="preserve">is modelled through a continous distribution</w:t>
      </w:r>
      <w:r>
        <w:t xml:space="preserve"> </w:t>
      </w:r>
      <m:oMath>
        <m:r>
          <m:rPr>
            <m:nor/>
            <m:sty m:val="p"/>
          </m:rPr>
          <m:t>L</m:t>
        </m:r>
      </m:oMath>
      <w:r>
        <w:t xml:space="preserve"> </w:t>
      </w:r>
      <w:r>
        <w:t xml:space="preserve">(here a lognormal distribution - its parameterization is described in SM…)) with mean component</w:t>
      </w:r>
      <w:r>
        <w:t xml:space="preserve"> </w:t>
      </w:r>
      <m:oMath>
        <m:f>
          <m:fPr>
            <m:type m:val="bar"/>
          </m:fPr>
          <m:num>
            <m:r>
              <m:t>S</m:t>
            </m:r>
            <m:r>
              <m:t>(</m:t>
            </m:r>
            <m:sSub>
              <m:e>
                <m:r>
                  <m:t>x</m:t>
                </m:r>
              </m:e>
              <m:sub>
                <m:r>
                  <m:t>i</m:t>
                </m:r>
              </m:sub>
            </m:sSub>
            <m:r>
              <m:t>)</m:t>
            </m:r>
          </m:num>
          <m:den>
            <m:r>
              <m:t>1</m:t>
            </m:r>
            <m:r>
              <m:t>−</m:t>
            </m:r>
            <m:sSub>
              <m:e>
                <m:r>
                  <m:t>p</m:t>
                </m:r>
              </m:e>
              <m:sub>
                <m:r>
                  <m:t>i</m:t>
                </m:r>
              </m:sub>
            </m:sSub>
          </m:den>
        </m:f>
      </m:oMath>
      <w:r>
        <w:t xml:space="preserve"> </w:t>
      </w:r>
      <w:r>
        <w:t xml:space="preserve">and variance term</w:t>
      </w:r>
      <w:r>
        <w:t xml:space="preserve"> </w:t>
      </w:r>
      <m:oMath>
        <m:sSup>
          <m:e>
            <m:r>
              <m:t>σ</m:t>
            </m:r>
          </m:e>
          <m:sup>
            <m:r>
              <m:t>2</m:t>
            </m:r>
          </m:sup>
        </m:sSup>
      </m:oMath>
      <w:r>
        <w:t xml:space="preserve">.</w:t>
      </w:r>
    </w:p>
    <w:p>
      <w:pPr>
        <w:pStyle w:val="FirstParagraph"/>
      </w:pPr>
      <m:oMathPara>
        <m:oMathParaPr>
          <m:jc m:val="center"/>
        </m:oMathParaPr>
        <m:oMath>
          <m:r>
            <m:rPr>
              <m:nor/>
              <m:sty m:val="p"/>
            </m:rPr>
            <m:t>P</m:t>
          </m:r>
          <m:d>
            <m:dPr>
              <m:begChr m:val="("/>
              <m:endChr m:val=")"/>
              <m:grow/>
            </m:dPr>
            <m:e>
              <m:sSub>
                <m:e>
                  <m:r>
                    <m:t>Y</m:t>
                  </m:r>
                </m:e>
                <m:sub>
                  <m:r>
                    <m:t>i</m:t>
                  </m:r>
                </m:sub>
              </m:sSub>
              <m:r>
                <m:t>=</m:t>
              </m:r>
              <m:sSub>
                <m:e>
                  <m:r>
                    <m:t>y</m:t>
                  </m:r>
                </m:e>
                <m:sub>
                  <m:r>
                    <m:t>i</m:t>
                  </m:r>
                </m:sub>
              </m:sSub>
              <m:r>
                <m:t>|</m:t>
              </m:r>
              <m:sSub>
                <m:e>
                  <m:r>
                    <m:t>x</m:t>
                  </m:r>
                </m:e>
                <m:sub>
                  <m:r>
                    <m:t>i</m:t>
                  </m:r>
                </m:sub>
              </m:sSub>
              <m:r>
                <m:t>,</m:t>
              </m:r>
              <m:r>
                <m:t>S</m:t>
              </m:r>
              <m:r>
                <m:t>(</m:t>
              </m:r>
              <m:sSub>
                <m:e>
                  <m:r>
                    <m:t>x</m:t>
                  </m:r>
                </m:e>
                <m:sub>
                  <m:r>
                    <m:t>i</m:t>
                  </m:r>
                </m:sub>
              </m:sSub>
              <m:r>
                <m:t>)</m:t>
              </m:r>
            </m:e>
          </m:d>
          <m:r>
            <m:t>=</m:t>
          </m:r>
          <m:d>
            <m:dPr>
              <m:begChr m:val="{"/>
              <m:endChr m:val=""/>
              <m:grow/>
            </m:dPr>
            <m:e>
              <m:m>
                <m:mPr>
                  <m:baseJc m:val="center"/>
                  <m:plcHide m:val="1"/>
                  <m:mcs>
                    <m:mc>
                      <m:mcPr>
                        <m:mcJc m:val="left"/>
                        <m:count m:val="1"/>
                      </m:mcPr>
                    </m:mc>
                    <m:mc>
                      <m:mcPr>
                        <m:mcJc m:val="left"/>
                        <m:count m:val="1"/>
                      </m:mcPr>
                    </m:mc>
                  </m:mcs>
                </m:mPr>
                <m:mr>
                  <m:e>
                    <m:sSub>
                      <m:e>
                        <m:r>
                          <m:t>p</m:t>
                        </m:r>
                      </m:e>
                      <m:sub>
                        <m:r>
                          <m:t>i</m:t>
                        </m:r>
                      </m:sub>
                    </m:sSub>
                  </m:e>
                  <m:e>
                    <m:r>
                      <m:rPr>
                        <m:nor/>
                        <m:sty m:val="p"/>
                      </m:rPr>
                      <m:t> if </m:t>
                    </m:r>
                    <m:sSub>
                      <m:e>
                        <m:r>
                          <m:t>y</m:t>
                        </m:r>
                      </m:e>
                      <m:sub>
                        <m:r>
                          <m:t>i</m:t>
                        </m:r>
                      </m:sub>
                    </m:sSub>
                    <m:r>
                      <m:t>=</m:t>
                    </m:r>
                    <m:r>
                      <m:t>0</m:t>
                    </m:r>
                  </m:e>
                </m:mr>
                <m:mr>
                  <m:e>
                    <m:d>
                      <m:dPr>
                        <m:begChr m:val="("/>
                        <m:endChr m:val=")"/>
                        <m:grow/>
                      </m:dPr>
                      <m:e>
                        <m:r>
                          <m:t>1</m:t>
                        </m:r>
                        <m:r>
                          <m:t>−</m:t>
                        </m:r>
                        <m:sSub>
                          <m:e>
                            <m:r>
                              <m:t>p</m:t>
                            </m:r>
                          </m:e>
                          <m:sub>
                            <m:r>
                              <m:t>i</m:t>
                            </m:r>
                          </m:sub>
                        </m:sSub>
                      </m:e>
                    </m:d>
                    <m:r>
                      <m:t>⋅</m:t>
                    </m:r>
                    <m:r>
                      <m:rPr>
                        <m:nor/>
                        <m:sty m:val="p"/>
                      </m:rPr>
                      <m:t>L</m:t>
                    </m:r>
                    <m:d>
                      <m:dPr>
                        <m:begChr m:val="("/>
                        <m:endChr m:val=")"/>
                        <m:grow/>
                      </m:dPr>
                      <m:e>
                        <m:sSub>
                          <m:e>
                            <m:r>
                              <m:t>y</m:t>
                            </m:r>
                          </m:e>
                          <m:sub>
                            <m:r>
                              <m:t>i</m:t>
                            </m:r>
                          </m:sub>
                        </m:sSub>
                        <m:r>
                          <m:t>,</m:t>
                        </m:r>
                        <m:f>
                          <m:fPr>
                            <m:type m:val="bar"/>
                          </m:fPr>
                          <m:num>
                            <m:r>
                              <m:t>S</m:t>
                            </m:r>
                            <m:r>
                              <m:t>(</m:t>
                            </m:r>
                            <m:sSub>
                              <m:e>
                                <m:r>
                                  <m:t>x</m:t>
                                </m:r>
                              </m:e>
                              <m:sub>
                                <m:r>
                                  <m:t>i</m:t>
                                </m:r>
                              </m:sub>
                            </m:sSub>
                            <m:r>
                              <m:t>)</m:t>
                            </m:r>
                          </m:num>
                          <m:den>
                            <m:d>
                              <m:dPr>
                                <m:begChr m:val="("/>
                                <m:endChr m:val=")"/>
                                <m:grow/>
                              </m:dPr>
                              <m:e>
                                <m:r>
                                  <m:t>1</m:t>
                                </m:r>
                                <m:r>
                                  <m:t>−</m:t>
                                </m:r>
                                <m:sSub>
                                  <m:e>
                                    <m:r>
                                      <m:t>p</m:t>
                                    </m:r>
                                  </m:e>
                                  <m:sub>
                                    <m:r>
                                      <m:t>i</m:t>
                                    </m:r>
                                  </m:sub>
                                </m:sSub>
                              </m:e>
                            </m:d>
                          </m:den>
                        </m:f>
                        <m:r>
                          <m:t>,</m:t>
                        </m:r>
                        <m:sSup>
                          <m:e>
                            <m:r>
                              <m:t>σ</m:t>
                            </m:r>
                          </m:e>
                          <m:sup>
                            <m:r>
                              <m:t>2</m:t>
                            </m:r>
                          </m:sup>
                        </m:sSup>
                      </m:e>
                    </m:d>
                  </m:e>
                  <m:e>
                    <m:r>
                      <m:rPr>
                        <m:nor/>
                        <m:sty m:val="p"/>
                      </m:rPr>
                      <m:t> if </m:t>
                    </m:r>
                    <m:sSub>
                      <m:e>
                        <m:r>
                          <m:t>y</m:t>
                        </m:r>
                      </m:e>
                      <m:sub>
                        <m:r>
                          <m:t>i</m:t>
                        </m:r>
                      </m:sub>
                    </m:sSub>
                    <m:r>
                      <m:t>&gt;</m:t>
                    </m:r>
                    <m:r>
                      <m:t>0</m:t>
                    </m:r>
                  </m:e>
                </m:mr>
              </m:m>
            </m:e>
          </m:d>
        </m:oMath>
      </m:oMathPara>
    </w:p>
    <w:p>
      <w:pPr>
        <w:pStyle w:val="FirstParagraph"/>
      </w:pPr>
      <w:r>
        <w:t xml:space="preserve">Fishermen must declare what they catch at the level of the statistical rectangle. Declarations are daily recorded in logbooks data. The declaration (denoted</w:t>
      </w:r>
      <w:r>
        <w:t xml:space="preserve"> </w:t>
      </w:r>
      <m:oMath>
        <m:sSub>
          <m:e>
            <m:r>
              <m:t>D</m:t>
            </m:r>
          </m:e>
          <m:sub>
            <m:r>
              <m:t>j</m:t>
            </m:r>
          </m:sub>
        </m:sSub>
      </m:oMath>
      <w:r>
        <w:t xml:space="preserve">) is a summation of all the</w:t>
      </w:r>
      <w:r>
        <w:t xml:space="preserve"> </w:t>
      </w:r>
      <m:oMath>
        <m:sSub>
          <m:e>
            <m:r>
              <m:t>Y</m:t>
            </m:r>
          </m:e>
          <m:sub>
            <m:r>
              <m:t>i</m:t>
            </m:r>
          </m:sub>
        </m:sSub>
      </m:oMath>
      <w:r>
        <w:t xml:space="preserve"> </w:t>
      </w:r>
      <w:r>
        <w:t xml:space="preserve">realized on the fishing positions belonging to the catch declaration</w:t>
      </w:r>
      <w:r>
        <w:t xml:space="preserve"> </w:t>
      </w:r>
      <m:oMath>
        <m:sSub>
          <m:e>
            <m:r>
              <m:t>D</m:t>
            </m:r>
          </m:e>
          <m:sub>
            <m:r>
              <m:t>j</m:t>
            </m:r>
          </m:sub>
        </m:sSub>
      </m:oMath>
      <w:r>
        <w:t xml:space="preserve"> </w:t>
      </w:r>
      <w:r>
        <w:t xml:space="preserve">and they can be expressed as:</w:t>
      </w:r>
    </w:p>
    <w:p>
      <w:pPr>
        <w:pStyle w:val="Corpsdetexte"/>
      </w:pPr>
      <m:oMathPara>
        <m:oMathParaPr>
          <m:jc m:val="center"/>
        </m:oMathParaPr>
        <m:oMath>
          <m:sSub>
            <m:e>
              <m:r>
                <m:t>D</m:t>
              </m:r>
            </m:e>
            <m:sub>
              <m:r>
                <m:t>j</m:t>
              </m:r>
            </m:sub>
          </m:sSub>
          <m:r>
            <m:t>=</m:t>
          </m:r>
          <m:nary>
            <m:naryPr>
              <m:chr m:val="∑"/>
              <m:limLoc m:val="undOvr"/>
              <m:subHide m:val="0"/>
              <m:supHide m:val="1"/>
            </m:naryPr>
            <m:sub>
              <m:r>
                <m:t>i</m:t>
              </m:r>
              <m:r>
                <m:t>∈</m:t>
              </m:r>
              <m:sSub>
                <m:e>
                  <m:r>
                    <m:rPr>
                      <m:sty m:val="p"/>
                      <m:scr m:val="script"/>
                    </m:rPr>
                    <m:t>P</m:t>
                  </m:r>
                </m:e>
                <m:sub>
                  <m:r>
                    <m:t>j</m:t>
                  </m:r>
                </m:sub>
              </m:sSub>
            </m:sub>
            <m:sup>
              <m:r>
                <m:t>​</m:t>
              </m:r>
            </m:sup>
            <m:e>
              <m:sSub>
                <m:e>
                  <m:r>
                    <m:t>Y</m:t>
                  </m:r>
                </m:e>
                <m:sub>
                  <m:r>
                    <m:t>i</m:t>
                  </m:r>
                </m:sub>
              </m:sSub>
            </m:e>
          </m:nary>
        </m:oMath>
      </m:oMathPara>
    </w:p>
    <w:p>
      <w:pPr>
        <w:pStyle w:val="FirstParagraph"/>
      </w:pPr>
      <m:oMath>
        <m:sSub>
          <m:e>
            <m:r>
              <m:rPr>
                <m:sty m:val="p"/>
                <m:scr m:val="script"/>
              </m:rPr>
              <m:t>P</m:t>
            </m:r>
          </m:e>
          <m:sub>
            <m:r>
              <m:t>j</m:t>
            </m:r>
          </m:sub>
        </m:sSub>
      </m:oMath>
      <w:r>
        <w:t xml:space="preserve"> </w:t>
      </w:r>
      <w:r>
        <w:t xml:space="preserve">is the vector of the fishing observations belonging to declaration</w:t>
      </w:r>
      <w:r>
        <w:t xml:space="preserve"> </w:t>
      </w:r>
      <m:oMath>
        <m:sSub>
          <m:e>
            <m:r>
              <m:t>D</m:t>
            </m:r>
          </m:e>
          <m:sub>
            <m:r>
              <m:t>j</m:t>
            </m:r>
          </m:sub>
        </m:sSub>
      </m:oMath>
      <w:r>
        <w:t xml:space="preserve">. The punctual observations</w:t>
      </w:r>
      <w:r>
        <w:t xml:space="preserve"> </w:t>
      </w:r>
      <m:oMath>
        <m:sSub>
          <m:e>
            <m:r>
              <m:t>Y</m:t>
            </m:r>
          </m:e>
          <m:sub>
            <m:r>
              <m:t>i</m:t>
            </m:r>
          </m:sub>
        </m:sSub>
      </m:oMath>
      <w:r>
        <w:t xml:space="preserve"> </w:t>
      </w:r>
      <w:r>
        <w:t xml:space="preserve">are indexed through</w:t>
      </w:r>
      <w:r>
        <w:t xml:space="preserve"> </w:t>
      </w:r>
      <m:oMath>
        <m:r>
          <m:t>i</m:t>
        </m:r>
        <m:r>
          <m:t>∈</m:t>
        </m:r>
        <m:r>
          <m:t>[</m:t>
        </m:r>
        <m:r>
          <m:t>​</m:t>
        </m:r>
        <m:r>
          <m:t>[</m:t>
        </m:r>
        <m:r>
          <m:t>1</m:t>
        </m:r>
        <m:r>
          <m:t>,</m:t>
        </m:r>
        <m:sSub>
          <m:e>
            <m:r>
              <m:t>m</m:t>
            </m:r>
          </m:e>
          <m:sub>
            <m:r>
              <m:t>j</m:t>
            </m:r>
          </m:sub>
        </m:sSub>
        <m:r>
          <m:t>]</m:t>
        </m:r>
        <m:r>
          <m:t>​</m:t>
        </m:r>
        <m:r>
          <m:t>]</m:t>
        </m:r>
      </m:oMath>
      <w:r>
        <w:t xml:space="preserve"> </w:t>
      </w:r>
      <w:r>
        <w:t xml:space="preserve">with</w:t>
      </w:r>
      <w:r>
        <w:t xml:space="preserve"> </w:t>
      </w:r>
      <m:oMath>
        <m:sSub>
          <m:e>
            <m:r>
              <m:t>m</m:t>
            </m:r>
          </m:e>
          <m:sub>
            <m:r>
              <m:t>j</m:t>
            </m:r>
          </m:sub>
        </m:sSub>
      </m:oMath>
      <w:r>
        <w:t xml:space="preserve"> </w:t>
      </w:r>
      <w:r>
        <w:t xml:space="preserve">the number of fishing positions belonging to the</w:t>
      </w:r>
      <w:r>
        <w:t xml:space="preserve"> </w:t>
      </w:r>
      <m:oMath>
        <m:sSup>
          <m:e>
            <m:r>
              <m:t>j</m:t>
            </m:r>
          </m:e>
          <m:sup>
            <m:r>
              <m:t>t</m:t>
            </m:r>
            <m:r>
              <m:t>h</m:t>
            </m:r>
          </m:sup>
        </m:sSup>
      </m:oMath>
      <w:r>
        <w:t xml:space="preserve"> </w:t>
      </w:r>
      <w:r>
        <w:t xml:space="preserve">declaration.</w:t>
      </w:r>
    </w:p>
    <w:p>
      <w:pPr>
        <w:pStyle w:val="Corpsdetexte"/>
      </w:pPr>
      <w:r>
        <w:rPr>
          <w:b/>
        </w:rPr>
        <w:t xml:space="preserve">Catch reallocation: uniform reallocation or model-based reallocation</w:t>
      </w:r>
    </w:p>
    <w:p>
      <w:pPr>
        <w:pStyle w:val="Corpsdetexte"/>
      </w:pPr>
      <w:r>
        <w:t xml:space="preserve">In standard processing,</w:t>
      </w:r>
      <w:r>
        <w:t xml:space="preserve"> </w:t>
      </w:r>
      <m:oMath>
        <m:sSub>
          <m:e>
            <m:r>
              <m:t>D</m:t>
            </m:r>
          </m:e>
          <m:sub>
            <m:r>
              <m:t>j</m:t>
            </m:r>
          </m:sub>
        </m:sSub>
      </m:oMath>
      <w:r>
        <w:t xml:space="preserve"> </w:t>
      </w:r>
      <w:r>
        <w:t xml:space="preserve">(from logbooks) are reallocated uniformly on related</w:t>
      </w:r>
      <w:r>
        <w:t xml:space="preserve"> </w:t>
      </w:r>
      <m:oMath>
        <m:sSub>
          <m:e>
            <m:r>
              <m:t>x</m:t>
            </m:r>
          </m:e>
          <m:sub>
            <m:r>
              <m:t>i</m:t>
            </m:r>
          </m:sub>
        </m:sSub>
      </m:oMath>
      <w:r>
        <w:t xml:space="preserve"> </w:t>
      </w:r>
      <w:r>
        <w:t xml:space="preserve">(available from VMS) so that derived punctual observations</w:t>
      </w:r>
      <w:r>
        <w:t xml:space="preserve"> </w:t>
      </w:r>
      <m:oMath>
        <m:sSubSup>
          <m:e>
            <m:r>
              <m:t>Y</m:t>
            </m:r>
          </m:e>
          <m:sub>
            <m:r>
              <m:t>i</m:t>
            </m:r>
          </m:sub>
          <m:sup>
            <m:r>
              <m:t>*</m:t>
            </m:r>
          </m:sup>
        </m:sSubSup>
      </m:oMath>
      <w:r>
        <w:t xml:space="preserve"> </w:t>
      </w:r>
      <w:r>
        <w:t xml:space="preserve">are computed as</w:t>
      </w:r>
      <w:r>
        <w:t xml:space="preserve"> </w:t>
      </w:r>
      <m:oMath>
        <m:sSubSup>
          <m:e>
            <m:r>
              <m:t>Y</m:t>
            </m:r>
          </m:e>
          <m:sub>
            <m:r>
              <m:t>i</m:t>
            </m:r>
          </m:sub>
          <m:sup>
            <m:r>
              <m:t>*</m:t>
            </m:r>
          </m:sup>
        </m:sSubSup>
        <m:r>
          <m:t>=</m:t>
        </m:r>
        <m:sSub>
          <m:e>
            <m:r>
              <m:t>D</m:t>
            </m:r>
          </m:e>
          <m:sub>
            <m:r>
              <m:t>j</m:t>
            </m:r>
          </m:sub>
        </m:sSub>
        <m:r>
          <m:t>/</m:t>
        </m:r>
        <m:sSub>
          <m:e>
            <m:r>
              <m:t>m</m:t>
            </m:r>
          </m:e>
          <m:sub>
            <m:r>
              <m:t>j</m:t>
            </m:r>
          </m:sub>
        </m:sSub>
      </m:oMath>
      <w:r>
        <w:t xml:space="preserve">. This is what we call uniform (or proportional) reallocation. In this case, inference of species distribution is directly computed through reallocated</w:t>
      </w:r>
      <w:r>
        <w:t xml:space="preserve"> </w:t>
      </w:r>
      <m:oMath>
        <m:sSubSup>
          <m:e>
            <m:r>
              <m:t>Y</m:t>
            </m:r>
          </m:e>
          <m:sub>
            <m:r>
              <m:t>i</m:t>
            </m:r>
          </m:sub>
          <m:sup>
            <m:r>
              <m:t>*</m:t>
            </m:r>
          </m:sup>
        </m:sSubSup>
      </m:oMath>
      <w:r>
        <w:t xml:space="preserve"> </w:t>
      </w:r>
      <w:r>
        <w:t xml:space="preserve">assuming these are the exact punctual observations. This strongly simplifies the actual process of observation and have most likely repercussion on model performance.</w:t>
      </w:r>
    </w:p>
    <w:p>
      <w:pPr>
        <w:pStyle w:val="Corpsdetexte"/>
      </w:pPr>
      <w:r>
        <w:t xml:space="preserve">To overcome such limitation, an alternative is to consider that only the catch declarations</w:t>
      </w:r>
      <w:r>
        <w:t xml:space="preserve"> </w:t>
      </w:r>
      <m:oMath>
        <m:sSub>
          <m:e>
            <m:r>
              <m:t>D</m:t>
            </m:r>
          </m:e>
          <m:sub>
            <m:r>
              <m:t>j</m:t>
            </m:r>
          </m:sub>
        </m:sSub>
      </m:oMath>
      <w:r>
        <w:t xml:space="preserve"> </w:t>
      </w:r>
      <w:r>
        <w:t xml:space="preserve">are observed while</w:t>
      </w:r>
      <w:r>
        <w:t xml:space="preserve"> </w:t>
      </w:r>
      <m:oMath>
        <m:sSub>
          <m:e>
            <m:r>
              <m:t>Y</m:t>
            </m:r>
          </m:e>
          <m:sub>
            <m:r>
              <m:t>i</m:t>
            </m:r>
          </m:sub>
        </m:sSub>
      </m:oMath>
      <w:r>
        <w:t xml:space="preserve"> </w:t>
      </w:r>
      <w:r>
        <w:t xml:space="preserve">are not (they are latent variables). Such way, we define some distribution</w:t>
      </w:r>
      <w:r>
        <w:t xml:space="preserve"> </w:t>
      </w:r>
      <m:oMath>
        <m:sSub>
          <m:e>
            <m:r>
              <m:rPr>
                <m:sty m:val="p"/>
                <m:scr m:val="script"/>
              </m:rPr>
              <m:t>L</m:t>
            </m:r>
          </m:e>
          <m:sub>
            <m:r>
              <m:t>D</m:t>
            </m:r>
          </m:sub>
        </m:sSub>
      </m:oMath>
      <w:r>
        <w:t xml:space="preserve"> </w:t>
      </w:r>
      <w:r>
        <w:t xml:space="preserve">as the distribution of the catch declarations:</w:t>
      </w:r>
    </w:p>
    <w:p>
      <w:pPr>
        <w:pStyle w:val="Corpsdetexte"/>
      </w:pPr>
      <m:oMathPara>
        <m:oMathParaPr>
          <m:jc m:val="center"/>
        </m:oMathParaPr>
        <m:oMath>
          <m:sSub>
            <m:e>
              <m:r>
                <m:t>D</m:t>
              </m:r>
            </m:e>
            <m:sub>
              <m:r>
                <m:t>j</m:t>
              </m:r>
            </m:sub>
          </m:sSub>
          <m:r>
            <m:t>|</m:t>
          </m:r>
          <m:sSub>
            <m:e>
              <m:r>
                <m:rPr>
                  <m:sty m:val="p"/>
                  <m:scr m:val="script"/>
                </m:rPr>
                <m:t>P</m:t>
              </m:r>
            </m:e>
            <m:sub>
              <m:r>
                <m:t>j</m:t>
              </m:r>
            </m:sub>
          </m:sSub>
          <m:r>
            <m:t>,</m:t>
          </m:r>
          <m:sSub>
            <m:e>
              <m:r>
                <m:t>S</m:t>
              </m:r>
            </m:e>
            <m:sub>
              <m:sSub>
                <m:e>
                  <m:r>
                    <m:rPr>
                      <m:sty m:val="p"/>
                      <m:scr m:val="script"/>
                    </m:rPr>
                    <m:t>P</m:t>
                  </m:r>
                </m:e>
                <m:sub>
                  <m:r>
                    <m:t>j</m:t>
                  </m:r>
                </m:sub>
              </m:sSub>
            </m:sub>
          </m:sSub>
          <m:r>
            <m:t>∼</m:t>
          </m:r>
          <m:sSub>
            <m:e>
              <m:r>
                <m:rPr>
                  <m:sty m:val="p"/>
                  <m:scr m:val="script"/>
                </m:rPr>
                <m:t>L</m:t>
              </m:r>
            </m:e>
            <m:sub>
              <m:r>
                <m:t>D</m:t>
              </m:r>
            </m:sub>
          </m:sSub>
          <m:r>
            <m:t>(</m:t>
          </m:r>
          <m:sSub>
            <m:e>
              <m:r>
                <m:t>S</m:t>
              </m:r>
            </m:e>
            <m:sub>
              <m:sSub>
                <m:e>
                  <m:r>
                    <m:rPr>
                      <m:sty m:val="p"/>
                      <m:scr m:val="script"/>
                    </m:rPr>
                    <m:t>P</m:t>
                  </m:r>
                </m:e>
                <m:sub>
                  <m:r>
                    <m:t>j</m:t>
                  </m:r>
                </m:sub>
              </m:sSub>
            </m:sub>
          </m:sSub>
          <m:r>
            <m:t>,</m:t>
          </m:r>
          <m:r>
            <m:t>ξ</m:t>
          </m:r>
          <m:r>
            <m:t>,</m:t>
          </m:r>
          <m:sSup>
            <m:e>
              <m:r>
                <m:t>σ</m:t>
              </m:r>
            </m:e>
            <m:sup>
              <m:r>
                <m:t>2</m:t>
              </m:r>
            </m:sup>
          </m:sSup>
          <m:r>
            <m:t>)</m:t>
          </m:r>
        </m:oMath>
      </m:oMathPara>
    </w:p>
    <w:p>
      <w:pPr>
        <w:pStyle w:val="FirstParagraph"/>
      </w:pPr>
      <w:r>
        <w:t xml:space="preserve">with</w:t>
      </w:r>
      <w:r>
        <w:t xml:space="preserve"> </w:t>
      </w:r>
      <m:oMath>
        <m:sSub>
          <m:e>
            <m:r>
              <m:t>S</m:t>
            </m:r>
          </m:e>
          <m:sub>
            <m:sSub>
              <m:e>
                <m:r>
                  <m:rPr>
                    <m:sty m:val="p"/>
                    <m:scr m:val="script"/>
                  </m:rPr>
                  <m:t>P</m:t>
                </m:r>
              </m:e>
              <m:sub>
                <m:r>
                  <m:t>j</m:t>
                </m:r>
              </m:sub>
            </m:sSub>
          </m:sub>
        </m:sSub>
        <m:r>
          <m:t>=</m:t>
        </m:r>
        <m:r>
          <m:t>(</m:t>
        </m:r>
        <m:r>
          <m:t>S</m:t>
        </m:r>
        <m:r>
          <m:t>(</m:t>
        </m:r>
        <m:sSub>
          <m:e>
            <m:r>
              <m:t>x</m:t>
            </m:r>
          </m:e>
          <m:sub>
            <m:r>
              <m:t>1</m:t>
            </m:r>
          </m:sub>
        </m:sSub>
        <m:r>
          <m:t>)</m:t>
        </m:r>
        <m:r>
          <m:t>,</m:t>
        </m:r>
        <m:r>
          <m:t>.</m:t>
        </m:r>
        <m:r>
          <m:t>.</m:t>
        </m:r>
        <m:r>
          <m:t>.</m:t>
        </m:r>
        <m:r>
          <m:t>,</m:t>
        </m:r>
        <m:r>
          <m:t>S</m:t>
        </m:r>
        <m:r>
          <m:t>(</m:t>
        </m:r>
        <m:sSub>
          <m:e>
            <m:r>
              <m:t>x</m:t>
            </m:r>
          </m:e>
          <m:sub>
            <m:r>
              <m:t>i</m:t>
            </m:r>
          </m:sub>
        </m:sSub>
        <m:r>
          <m:t>)</m:t>
        </m:r>
        <m:r>
          <m:t>,</m:t>
        </m:r>
        <m:r>
          <m:t>.</m:t>
        </m:r>
        <m:r>
          <m:t>.</m:t>
        </m:r>
        <m:r>
          <m:t>.</m:t>
        </m:r>
        <m:r>
          <m:t>,</m:t>
        </m:r>
        <m:r>
          <m:t>S</m:t>
        </m:r>
        <m:r>
          <m:t>(</m:t>
        </m:r>
        <m:sSub>
          <m:e>
            <m:r>
              <m:t>x</m:t>
            </m:r>
          </m:e>
          <m:sub>
            <m:sSub>
              <m:e>
                <m:r>
                  <m:t>m</m:t>
                </m:r>
              </m:e>
              <m:sub>
                <m:r>
                  <m:t>j</m:t>
                </m:r>
              </m:sub>
            </m:sSub>
          </m:sub>
        </m:sSub>
        <m:r>
          <m:t>)</m:t>
        </m:r>
        <m:r>
          <m:t>)</m:t>
        </m:r>
      </m:oMath>
      <w:r>
        <w:t xml:space="preserve">,</w:t>
      </w:r>
      <w:r>
        <w:t xml:space="preserve"> </w:t>
      </w:r>
      <m:oMath>
        <m:r>
          <m:t>ξ</m:t>
        </m:r>
      </m:oMath>
      <w:r>
        <w:t xml:space="preserve"> </w:t>
      </w:r>
      <w:r>
        <w:t xml:space="preserve">the zero-inflation parmeter and</w:t>
      </w:r>
      <w:r>
        <w:t xml:space="preserve"> </w:t>
      </w:r>
      <m:oMath>
        <m:sSup>
          <m:e>
            <m:r>
              <m:t>σ</m:t>
            </m:r>
          </m:e>
          <m:sup>
            <m:r>
              <m:t>2</m:t>
            </m:r>
          </m:sup>
        </m:sSup>
      </m:oMath>
      <w:r>
        <w:t xml:space="preserve"> </w:t>
      </w:r>
      <w:r>
        <w:t xml:space="preserve">the variance parameter. As</w:t>
      </w:r>
      <w:r>
        <w:t xml:space="preserve"> </w:t>
      </w:r>
      <m:oMath>
        <m:sSub>
          <m:e>
            <m:r>
              <m:t>D</m:t>
            </m:r>
          </m:e>
          <m:sub>
            <m:r>
              <m:t>j</m:t>
            </m:r>
          </m:sub>
        </m:sSub>
        <m:r>
          <m:t>=</m:t>
        </m:r>
        <m:nary>
          <m:naryPr>
            <m:chr m:val="∑"/>
            <m:limLoc m:val="undOvr"/>
            <m:subHide m:val="0"/>
            <m:supHide m:val="1"/>
          </m:naryPr>
          <m:sub>
            <m:r>
              <m:t>i</m:t>
            </m:r>
            <m:r>
              <m:t>∈</m:t>
            </m:r>
            <m:sSub>
              <m:e>
                <m:r>
                  <m:rPr>
                    <m:sty m:val="p"/>
                    <m:scr m:val="script"/>
                  </m:rPr>
                  <m:t>P</m:t>
                </m:r>
              </m:e>
              <m:sub>
                <m:r>
                  <m:t>j</m:t>
                </m:r>
              </m:sub>
            </m:sSub>
          </m:sub>
          <m:sup>
            <m:r>
              <m:t>​</m:t>
            </m:r>
          </m:sup>
          <m:e>
            <m:sSub>
              <m:e>
                <m:r>
                  <m:t>Y</m:t>
                </m:r>
              </m:e>
              <m:sub>
                <m:r>
                  <m:t>i</m:t>
                </m:r>
              </m:sub>
            </m:sSub>
          </m:e>
        </m:nary>
      </m:oMath>
      <w:r>
        <w:t xml:space="preserve">, it is possible to relate</w:t>
      </w:r>
      <w:r>
        <w:t xml:space="preserve"> </w:t>
      </w:r>
      <m:oMath>
        <m:sSub>
          <m:e>
            <m:r>
              <m:t>D</m:t>
            </m:r>
          </m:e>
          <m:sub>
            <m:r>
              <m:t>j</m:t>
            </m:r>
          </m:sub>
        </m:sSub>
      </m:oMath>
      <w:r>
        <w:t xml:space="preserve">,</w:t>
      </w:r>
      <w:r>
        <w:t xml:space="preserve"> </w:t>
      </w:r>
      <m:oMath>
        <m:sSub>
          <m:e>
            <m:r>
              <m:t>Y</m:t>
            </m:r>
          </m:e>
          <m:sub>
            <m:r>
              <m:t>i</m:t>
            </m:r>
          </m:sub>
        </m:sSub>
      </m:oMath>
      <w:r>
        <w:t xml:space="preserve"> </w:t>
      </w:r>
      <w:r>
        <w:t xml:space="preserve">and</w:t>
      </w:r>
      <w:r>
        <w:t xml:space="preserve"> </w:t>
      </w:r>
      <m:oMath>
        <m:sSub>
          <m:e>
            <m:r>
              <m:t>S</m:t>
            </m:r>
          </m:e>
          <m:sub>
            <m:sSub>
              <m:e>
                <m:r>
                  <m:rPr>
                    <m:sty m:val="p"/>
                    <m:scr m:val="script"/>
                  </m:rPr>
                  <m:t>P</m:t>
                </m:r>
              </m:e>
              <m:sub>
                <m:r>
                  <m:t>j</m:t>
                </m:r>
              </m:sub>
            </m:sSub>
          </m:sub>
        </m:sSub>
      </m:oMath>
      <w:r>
        <w:t xml:space="preserve"> </w:t>
      </w:r>
      <w:r>
        <w:t xml:space="preserve">through the distribution</w:t>
      </w:r>
      <w:r>
        <w:t xml:space="preserve"> </w:t>
      </w:r>
      <m:oMath>
        <m:sSub>
          <m:e>
            <m:r>
              <m:rPr>
                <m:sty m:val="p"/>
                <m:scr m:val="script"/>
              </m:rPr>
              <m:t>L</m:t>
            </m:r>
          </m:e>
          <m:sub>
            <m:r>
              <m:t>Y</m:t>
            </m:r>
          </m:sub>
        </m:sSub>
      </m:oMath>
      <w:r>
        <w:t xml:space="preserve"> </w:t>
      </w:r>
      <w:r>
        <w:t xml:space="preserve">and</w:t>
      </w:r>
      <w:r>
        <w:t xml:space="preserve"> </w:t>
      </w:r>
      <m:oMath>
        <m:sSub>
          <m:e>
            <m:r>
              <m:rPr>
                <m:sty m:val="p"/>
                <m:scr m:val="script"/>
              </m:rPr>
              <m:t>L</m:t>
            </m:r>
          </m:e>
          <m:sub>
            <m:r>
              <m:t>D</m:t>
            </m:r>
          </m:sub>
        </m:sSub>
      </m:oMath>
      <w:r>
        <w:t xml:space="preserve">. Our approach is to match the moments of</w:t>
      </w:r>
      <w:r>
        <w:t xml:space="preserve"> </w:t>
      </w:r>
      <m:oMath>
        <m:sSub>
          <m:e>
            <m:r>
              <m:t>D</m:t>
            </m:r>
          </m:e>
          <m:sub>
            <m:r>
              <m:t>j</m:t>
            </m:r>
          </m:sub>
        </m:sSub>
      </m:oMath>
      <w:r>
        <w:t xml:space="preserve"> </w:t>
      </w:r>
      <w:r>
        <w:t xml:space="preserve">(obtained from the moments of</w:t>
      </w:r>
      <w:r>
        <w:t xml:space="preserve"> </w:t>
      </w:r>
      <m:oMath>
        <m:sSub>
          <m:e>
            <m:r>
              <m:rPr>
                <m:sty m:val="p"/>
                <m:scr m:val="script"/>
              </m:rPr>
              <m:t>L</m:t>
            </m:r>
          </m:e>
          <m:sub>
            <m:r>
              <m:t>Y</m:t>
            </m:r>
          </m:sub>
        </m:sSub>
      </m:oMath>
      <w:r>
        <w:t xml:space="preserve">) and</w:t>
      </w:r>
      <w:r>
        <w:t xml:space="preserve"> </w:t>
      </w:r>
      <m:oMath>
        <m:sSub>
          <m:e>
            <m:r>
              <m:rPr>
                <m:sty m:val="p"/>
                <m:scr m:val="script"/>
              </m:rPr>
              <m:t>L</m:t>
            </m:r>
          </m:e>
          <m:sub>
            <m:r>
              <m:t>D</m:t>
            </m:r>
          </m:sub>
        </m:sSub>
      </m:oMath>
      <w:r>
        <w:t xml:space="preserve"> </w:t>
      </w:r>
      <w:r>
        <w:t xml:space="preserve">and then to infer</w:t>
      </w:r>
      <w:r>
        <w:t xml:space="preserve"> </w:t>
      </w:r>
      <m:oMath>
        <m:r>
          <m:t>S</m:t>
        </m:r>
        <m:r>
          <m:t>(</m:t>
        </m:r>
        <m:r>
          <m:t>x</m:t>
        </m:r>
        <m:r>
          <m:t>)</m:t>
        </m:r>
      </m:oMath>
      <w:r>
        <w:t xml:space="preserve"> </w:t>
      </w:r>
      <w:r>
        <w:t xml:space="preserve">and</w:t>
      </w:r>
      <w:r>
        <w:t xml:space="preserve"> </w:t>
      </w:r>
      <m:oMath>
        <m:sSub>
          <m:e>
            <m:r>
              <m:t>Y</m:t>
            </m:r>
          </m:e>
          <m:sub>
            <m:r>
              <m:t>i</m:t>
            </m:r>
          </m:sub>
        </m:sSub>
      </m:oMath>
      <w:r>
        <w:t xml:space="preserve"> </w:t>
      </w:r>
      <w:r>
        <w:t xml:space="preserve">from</w:t>
      </w:r>
      <w:r>
        <w:t xml:space="preserve"> </w:t>
      </w:r>
      <m:oMath>
        <m:sSub>
          <m:e>
            <m:r>
              <m:t>D</m:t>
            </m:r>
          </m:e>
          <m:sub>
            <m:r>
              <m:t>j</m:t>
            </m:r>
          </m:sub>
        </m:sSub>
      </m:oMath>
      <w:r>
        <w:t xml:space="preserve">. This is what we call model-based reallocation. This model will be referred as the</w:t>
      </w:r>
      <w:r>
        <w:t xml:space="preserve"> </w:t>
      </w:r>
      <m:oMath>
        <m:sSub>
          <m:e>
            <m:r>
              <m:t>D</m:t>
            </m:r>
          </m:e>
          <m:sub>
            <m:r>
              <m:t>j</m:t>
            </m:r>
          </m:sub>
        </m:sSub>
      </m:oMath>
      <w:r>
        <w:t xml:space="preserve"> </w:t>
      </w:r>
      <w:r>
        <w:t xml:space="preserve">model. In contrast, the model fitted on reallocated observations</w:t>
      </w:r>
      <w:r>
        <w:t xml:space="preserve"> </w:t>
      </w:r>
      <m:oMath>
        <m:sSubSup>
          <m:e>
            <m:r>
              <m:t>Y</m:t>
            </m:r>
          </m:e>
          <m:sub>
            <m:r>
              <m:t>i</m:t>
            </m:r>
          </m:sub>
          <m:sup>
            <m:r>
              <m:t>*</m:t>
            </m:r>
          </m:sup>
        </m:sSubSup>
      </m:oMath>
      <w:r>
        <w:t xml:space="preserve"> </w:t>
      </w:r>
      <w:r>
        <w:t xml:space="preserve">will be referred as the</w:t>
      </w:r>
      <w:r>
        <w:t xml:space="preserve"> </w:t>
      </w:r>
      <m:oMath>
        <m:sSubSup>
          <m:e>
            <m:r>
              <m:t>Y</m:t>
            </m:r>
          </m:e>
          <m:sub>
            <m:r>
              <m:t>i</m:t>
            </m:r>
          </m:sub>
          <m:sup>
            <m:r>
              <m:t>*</m:t>
            </m:r>
          </m:sup>
        </m:sSubSup>
      </m:oMath>
      <w:r>
        <w:t xml:space="preserve"> </w:t>
      </w:r>
      <w:r>
        <w:t xml:space="preserve">model.</w:t>
      </w:r>
    </w:p>
    <w:p>
      <w:pPr>
        <w:pStyle w:val="Corpsdetexte"/>
      </w:pPr>
      <w:r>
        <w:t xml:space="preserve">In the following,</w:t>
      </w:r>
      <w:r>
        <w:t xml:space="preserve"> </w:t>
      </w:r>
      <m:oMath>
        <m:r>
          <m:t>Y</m:t>
        </m:r>
      </m:oMath>
      <w:r>
        <w:t xml:space="preserve"> </w:t>
      </w:r>
      <w:r>
        <w:t xml:space="preserve">and</w:t>
      </w:r>
      <w:r>
        <w:t xml:space="preserve"> </w:t>
      </w:r>
      <m:oMath>
        <m:r>
          <m:t>D</m:t>
        </m:r>
      </m:oMath>
      <w:r>
        <w:t xml:space="preserve"> </w:t>
      </w:r>
      <w:r>
        <w:t xml:space="preserve">will be assumed conditionnal on the fishing positions and the latent field values, but for notation simplicity they will be simply denoted as</w:t>
      </w:r>
      <w:r>
        <w:t xml:space="preserve"> </w:t>
      </w:r>
      <m:oMath>
        <m:sSub>
          <m:e>
            <m:r>
              <m:t>Y</m:t>
            </m:r>
          </m:e>
          <m:sub>
            <m:r>
              <m:t>i</m:t>
            </m:r>
          </m:sub>
        </m:sSub>
      </m:oMath>
      <w:r>
        <w:t xml:space="preserve"> </w:t>
      </w:r>
      <w:r>
        <w:t xml:space="preserve">or</w:t>
      </w:r>
      <w:r>
        <w:t xml:space="preserve"> </w:t>
      </w:r>
      <m:oMath>
        <m:sSub>
          <m:e>
            <m:r>
              <m:t>D</m:t>
            </m:r>
          </m:e>
          <m:sub>
            <m:r>
              <m:t>j</m:t>
            </m:r>
          </m:sub>
        </m:sSub>
      </m:oMath>
      <w:r>
        <w:t xml:space="preserve"> </w:t>
      </w:r>
      <w:r>
        <w:t xml:space="preserve">instead of</w:t>
      </w:r>
      <w:r>
        <w:t xml:space="preserve"> </w:t>
      </w:r>
      <m:oMath>
        <m:sSub>
          <m:e>
            <m:r>
              <m:t>Y</m:t>
            </m:r>
          </m:e>
          <m:sub>
            <m:r>
              <m:t>i</m:t>
            </m:r>
          </m:sub>
        </m:sSub>
        <m:r>
          <m:t>|</m:t>
        </m:r>
        <m:sSub>
          <m:e>
            <m:r>
              <m:t>x</m:t>
            </m:r>
          </m:e>
          <m:sub>
            <m:r>
              <m:t>i</m:t>
            </m:r>
          </m:sub>
        </m:sSub>
        <m:r>
          <m:t>,</m:t>
        </m:r>
        <m:r>
          <m:t>S</m:t>
        </m:r>
        <m:r>
          <m:t>(</m:t>
        </m:r>
        <m:sSub>
          <m:e>
            <m:r>
              <m:t>x</m:t>
            </m:r>
          </m:e>
          <m:sub>
            <m:r>
              <m:t>i</m:t>
            </m:r>
          </m:sub>
        </m:sSub>
        <m:r>
          <m:t>)</m:t>
        </m:r>
      </m:oMath>
      <w:r>
        <w:t xml:space="preserve"> </w:t>
      </w:r>
      <w:r>
        <w:t xml:space="preserve">and</w:t>
      </w:r>
      <w:r>
        <w:t xml:space="preserve"> </w:t>
      </w:r>
      <m:oMath>
        <m:sSub>
          <m:e>
            <m:r>
              <m:t>D</m:t>
            </m:r>
          </m:e>
          <m:sub>
            <m:r>
              <m:t>j</m:t>
            </m:r>
          </m:sub>
        </m:sSub>
        <m:r>
          <m:t>|</m:t>
        </m:r>
        <m:sSub>
          <m:e>
            <m:r>
              <m:t>S</m:t>
            </m:r>
          </m:e>
          <m:sub>
            <m:sSub>
              <m:e>
                <m:r>
                  <m:rPr>
                    <m:sty m:val="p"/>
                    <m:scr m:val="script"/>
                  </m:rPr>
                  <m:t>P</m:t>
                </m:r>
              </m:e>
              <m:sub>
                <m:r>
                  <m:t>j</m:t>
                </m:r>
              </m:sub>
            </m:sSub>
          </m:sub>
        </m:sSub>
        <m:r>
          <m:t>,</m:t>
        </m:r>
        <m:sSub>
          <m:e>
            <m:r>
              <m:rPr>
                <m:sty m:val="p"/>
                <m:scr m:val="script"/>
              </m:rPr>
              <m:t>P</m:t>
            </m:r>
          </m:e>
          <m:sub>
            <m:r>
              <m:t>j</m:t>
            </m:r>
          </m:sub>
        </m:sSub>
      </m:oMath>
      <w:r>
        <w:t xml:space="preserve">.</w:t>
      </w:r>
    </w:p>
    <w:p>
      <w:pPr>
        <w:pStyle w:val="Corpsdetexte"/>
      </w:pPr>
      <w:r>
        <w:rPr>
          <w:b/>
        </w:rPr>
        <w:t xml:space="preserve">Matching</w:t>
      </w:r>
      <w:r>
        <w:rPr>
          <w:b/>
        </w:rPr>
        <w:t xml:space="preserve"> </w:t>
      </w:r>
      <m:oMath>
        <m:sSub>
          <m:e>
            <m:r>
              <m:rPr>
                <m:sty m:val="p"/>
                <m:scr m:val="script"/>
              </m:rPr>
              <m:t>L</m:t>
            </m:r>
          </m:e>
          <m:sub>
            <m:r>
              <m:t>Y</m:t>
            </m:r>
          </m:sub>
        </m:sSub>
      </m:oMath>
      <w:r>
        <w:rPr>
          <w:b/>
        </w:rPr>
        <w:t xml:space="preserve"> </w:t>
      </w:r>
      <w:r>
        <w:rPr>
          <w:b/>
        </w:rPr>
        <w:t xml:space="preserve">and</w:t>
      </w:r>
      <w:r>
        <w:rPr>
          <w:b/>
        </w:rPr>
        <w:t xml:space="preserve"> </w:t>
      </w:r>
      <m:oMath>
        <m:sSub>
          <m:e>
            <m:r>
              <m:rPr>
                <m:sty m:val="p"/>
                <m:scr m:val="script"/>
              </m:rPr>
              <m:t>L</m:t>
            </m:r>
          </m:e>
          <m:sub>
            <m:r>
              <m:t>D</m:t>
            </m:r>
          </m:sub>
        </m:sSub>
      </m:oMath>
    </w:p>
    <w:p>
      <w:pPr>
        <w:pStyle w:val="Corpsdetexte"/>
      </w:pPr>
      <w:r>
        <w:t xml:space="preserve">First, as at the punctual level (</w:t>
      </w:r>
      <m:oMath>
        <m:r>
          <m:t>Y</m:t>
        </m:r>
      </m:oMath>
      <w:r>
        <w:t xml:space="preserve">), the declarations can be decomposed in 2 components: (1) the probability to obtain a zero-value declaration and, if the declaration is positive, (2) the probability to obtain some declaration value</w:t>
      </w:r>
      <w:r>
        <w:t xml:space="preserve"> </w:t>
      </w:r>
      <m:oMath>
        <m:sSub>
          <m:e>
            <m:r>
              <m:t>d</m:t>
            </m:r>
          </m:e>
          <m:sub>
            <m:r>
              <m:t>j</m:t>
            </m:r>
          </m:sub>
        </m:sSub>
      </m:oMath>
      <w:r>
        <w:t xml:space="preserve">.</w:t>
      </w:r>
    </w:p>
    <w:p>
      <w:pPr>
        <w:pStyle w:val="Compact"/>
        <w:numPr>
          <w:numId w:val="1002"/>
          <w:ilvl w:val="0"/>
        </w:numPr>
      </w:pPr>
      <w:r>
        <w:t xml:space="preserve">We derive the probability to obtain a zero-declaration</w:t>
      </w:r>
      <w:r>
        <w:t xml:space="preserve"> </w:t>
      </w:r>
      <m:oMath>
        <m:r>
          <m:t>P</m:t>
        </m:r>
        <m:r>
          <m:t>(</m:t>
        </m:r>
        <m:sSub>
          <m:e>
            <m:r>
              <m:t>D</m:t>
            </m:r>
          </m:e>
          <m:sub>
            <m:r>
              <m:t>j</m:t>
            </m:r>
          </m:sub>
        </m:sSub>
        <m:r>
          <m:t>=</m:t>
        </m:r>
        <m:r>
          <m:t>0</m:t>
        </m:r>
        <m:r>
          <m:t>)</m:t>
        </m:r>
      </m:oMath>
      <w:r>
        <w:t xml:space="preserve"> </w:t>
      </w:r>
      <w:r>
        <w:t xml:space="preserve">by simply multiplying the probability to obtain a zero-punctual observation</w:t>
      </w:r>
      <w:r>
        <w:t xml:space="preserve"> </w:t>
      </w:r>
      <m:oMath>
        <m:r>
          <m:t>P</m:t>
        </m:r>
        <m:r>
          <m:t>(</m:t>
        </m:r>
        <m:sSub>
          <m:e>
            <m:r>
              <m:t>Y</m:t>
            </m:r>
          </m:e>
          <m:sub>
            <m:r>
              <m:t>i</m:t>
            </m:r>
          </m:sub>
        </m:sSub>
        <m:r>
          <m:t>=</m:t>
        </m:r>
        <m:r>
          <m:t>0</m:t>
        </m:r>
        <m:r>
          <m:t>)</m:t>
        </m:r>
      </m:oMath>
      <w:r>
        <w:t xml:space="preserve"> </w:t>
      </w:r>
      <w:r>
        <w:t xml:space="preserve">to all fishing points</w:t>
      </w:r>
      <w:r>
        <w:t xml:space="preserve"> </w:t>
      </w:r>
      <m:oMath>
        <m:sSub>
          <m:e>
            <m:r>
              <m:t>x</m:t>
            </m:r>
          </m:e>
          <m:sub>
            <m:r>
              <m:t>i</m:t>
            </m:r>
          </m:sub>
        </m:sSub>
        <m:r>
          <m:t>∈</m:t>
        </m:r>
        <m:sSub>
          <m:e>
            <m:r>
              <m:rPr>
                <m:sty m:val="p"/>
                <m:scr m:val="script"/>
              </m:rPr>
              <m:t>P</m:t>
            </m:r>
          </m:e>
          <m:sub>
            <m:r>
              <m:t>j</m:t>
            </m:r>
          </m:sub>
        </m:sSub>
      </m:oMath>
      <w:r>
        <w:t xml:space="preserve">.</w:t>
      </w:r>
    </w:p>
    <w:p>
      <w:pPr>
        <w:pStyle w:val="FirstParagraph"/>
      </w:pPr>
      <m:oMathPara>
        <m:oMathParaPr>
          <m:jc m:val="center"/>
        </m:oMathParaPr>
        <m:oMath>
          <m:m>
            <m:mPr>
              <m:baseJc m:val="center"/>
              <m:plcHide m:val="1"/>
              <m:mcs>
                <m:mc>
                  <m:mcPr>
                    <m:mcJc m:val="right"/>
                    <m:count m:val="1"/>
                  </m:mcPr>
                </m:mc>
                <m:mc>
                  <m:mcPr>
                    <m:mcJc m:val="left"/>
                    <m:count m:val="1"/>
                  </m:mcPr>
                </m:mc>
              </m:mcs>
            </m:mPr>
            <m:mr>
              <m:e>
                <m:r>
                  <m:t>P</m:t>
                </m:r>
                <m:r>
                  <m:t>(</m:t>
                </m:r>
                <m:sSub>
                  <m:e>
                    <m:r>
                      <m:t>D</m:t>
                    </m:r>
                  </m:e>
                  <m:sub>
                    <m:r>
                      <m:t>j</m:t>
                    </m:r>
                  </m:sub>
                </m:sSub>
                <m:r>
                  <m:t>=</m:t>
                </m:r>
                <m:r>
                  <m:t>0</m:t>
                </m:r>
                <m:r>
                  <m:t>)</m:t>
                </m:r>
              </m:e>
              <m:e>
                <m:r>
                  <m:t>=</m:t>
                </m:r>
                <m:nary>
                  <m:naryPr>
                    <m:chr m:val="∏"/>
                    <m:limLoc m:val="undOvr"/>
                    <m:subHide m:val="0"/>
                    <m:supHide m:val="1"/>
                  </m:naryPr>
                  <m:sub>
                    <m:r>
                      <m:t>i</m:t>
                    </m:r>
                    <m:r>
                      <m:t>∈</m:t>
                    </m:r>
                    <m:sSub>
                      <m:e>
                        <m:r>
                          <m:rPr>
                            <m:sty m:val="p"/>
                            <m:scr m:val="script"/>
                          </m:rPr>
                          <m:t>P</m:t>
                        </m:r>
                      </m:e>
                      <m:sub>
                        <m:r>
                          <m:t>j</m:t>
                        </m:r>
                      </m:sub>
                    </m:sSub>
                  </m:sub>
                  <m:sup>
                    <m:r>
                      <m:t>​</m:t>
                    </m:r>
                  </m:sup>
                  <m:e>
                    <m:r>
                      <m:t>P</m:t>
                    </m:r>
                  </m:e>
                </m:nary>
                <m:r>
                  <m:t>(</m:t>
                </m:r>
                <m:sSub>
                  <m:e>
                    <m:r>
                      <m:t>Y</m:t>
                    </m:r>
                  </m:e>
                  <m:sub>
                    <m:r>
                      <m:t>i</m:t>
                    </m:r>
                  </m:sub>
                </m:sSub>
                <m:r>
                  <m:t>=</m:t>
                </m:r>
                <m:r>
                  <m:t>0</m:t>
                </m:r>
                <m:r>
                  <m:t>)</m:t>
                </m:r>
                <m:r>
                  <m:t>,</m:t>
                </m:r>
              </m:e>
            </m:mr>
            <m:mr>
              <m:e/>
              <m:e>
                <m:r>
                  <m:t>=</m:t>
                </m:r>
                <m:r>
                  <m:rPr>
                    <m:nor/>
                    <m:sty m:val="p"/>
                  </m:rPr>
                  <m:t>exp</m:t>
                </m:r>
                <m:d>
                  <m:dPr>
                    <m:begChr m:val="{"/>
                    <m:endChr m:val="}"/>
                    <m:grow/>
                  </m:dPr>
                  <m:e>
                    <m:r>
                      <m:t>−</m:t>
                    </m:r>
                    <m:nary>
                      <m:naryPr>
                        <m:chr m:val="∑"/>
                        <m:limLoc m:val="undOvr"/>
                        <m:subHide m:val="0"/>
                        <m:supHide m:val="1"/>
                      </m:naryPr>
                      <m:sub>
                        <m:r>
                          <m:t>i</m:t>
                        </m:r>
                        <m:r>
                          <m:t>∈</m:t>
                        </m:r>
                        <m:sSub>
                          <m:e>
                            <m:r>
                              <m:rPr>
                                <m:sty m:val="p"/>
                                <m:scr m:val="script"/>
                              </m:rPr>
                              <m:t>P</m:t>
                            </m:r>
                          </m:e>
                          <m:sub>
                            <m:r>
                              <m:t>j</m:t>
                            </m:r>
                          </m:sub>
                        </m:sSub>
                      </m:sub>
                      <m:sup>
                        <m:r>
                          <m:t>​</m:t>
                        </m:r>
                      </m:sup>
                      <m:e>
                        <m:sSup>
                          <m:e>
                            <m:r>
                              <m:t>e</m:t>
                            </m:r>
                          </m:e>
                          <m:sup>
                            <m:r>
                              <m:t>ξ</m:t>
                            </m:r>
                          </m:sup>
                        </m:sSup>
                      </m:e>
                    </m:nary>
                    <m:r>
                      <m:t>.</m:t>
                    </m:r>
                    <m:r>
                      <m:t>S</m:t>
                    </m:r>
                    <m:r>
                      <m:t>(</m:t>
                    </m:r>
                    <m:sSub>
                      <m:e>
                        <m:r>
                          <m:t>x</m:t>
                        </m:r>
                      </m:e>
                      <m:sub>
                        <m:r>
                          <m:t>i</m:t>
                        </m:r>
                      </m:sub>
                    </m:sSub>
                    <m:r>
                      <m:t>)</m:t>
                    </m:r>
                  </m:e>
                </m:d>
                <m:r>
                  <m:t>=</m:t>
                </m:r>
                <m:sSub>
                  <m:e>
                    <m:r>
                      <m:t>π</m:t>
                    </m:r>
                  </m:e>
                  <m:sub>
                    <m:r>
                      <m:t>j</m:t>
                    </m:r>
                  </m:sub>
                </m:sSub>
                <m:r>
                  <m:t>.</m:t>
                </m:r>
              </m:e>
            </m:mr>
          </m:m>
        </m:oMath>
      </m:oMathPara>
    </w:p>
    <w:p>
      <w:pPr>
        <w:pStyle w:val="Compact"/>
        <w:numPr>
          <w:numId w:val="1003"/>
          <w:ilvl w:val="0"/>
        </w:numPr>
      </w:pPr>
      <w:r>
        <w:t xml:space="preserve">If the declaration is positive, we assume the probability to obtain catch</w:t>
      </w:r>
      <w:r>
        <w:t xml:space="preserve"> </w:t>
      </w:r>
      <m:oMath>
        <m:sSub>
          <m:e>
            <m:r>
              <m:t>d</m:t>
            </m:r>
          </m:e>
          <m:sub>
            <m:r>
              <m:t>j</m:t>
            </m:r>
          </m:sub>
        </m:sSub>
      </m:oMath>
      <w:r>
        <w:t xml:space="preserve"> </w:t>
      </w:r>
      <w:r>
        <w:t xml:space="preserve">follows a continous distribution</w:t>
      </w:r>
      <w:r>
        <w:t xml:space="preserve"> </w:t>
      </w:r>
      <m:oMath>
        <m:sSub>
          <m:e>
            <m:r>
              <m:rPr>
                <m:sty m:val="p"/>
                <m:scr m:val="script"/>
              </m:rPr>
              <m:t>L</m:t>
            </m:r>
          </m:e>
          <m:sub>
            <m:sSub>
              <m:e>
                <m:r>
                  <m:t>D</m:t>
                </m:r>
              </m:e>
              <m:sub>
                <m:r>
                  <m:t>j</m:t>
                </m:r>
              </m:sub>
            </m:sSub>
            <m:r>
              <m:t>|</m:t>
            </m:r>
            <m:sSub>
              <m:e>
                <m:r>
                  <m:t>D</m:t>
                </m:r>
              </m:e>
              <m:sub>
                <m:r>
                  <m:t>j</m:t>
                </m:r>
              </m:sub>
            </m:sSub>
            <m:r>
              <m:t>&gt;</m:t>
            </m:r>
            <m:r>
              <m:t>0</m:t>
            </m:r>
          </m:sub>
        </m:sSub>
      </m:oMath>
      <w:r>
        <w:t xml:space="preserve"> </w:t>
      </w:r>
      <w:r>
        <w:t xml:space="preserve">with mean component</w:t>
      </w:r>
      <w:r>
        <w:t xml:space="preserve"> </w:t>
      </w:r>
      <m:oMath>
        <m:sSub>
          <m:e>
            <m:r>
              <m:t>μ</m:t>
            </m:r>
          </m:e>
          <m:sub>
            <m:r>
              <m:t>j</m:t>
            </m:r>
          </m:sub>
        </m:sSub>
      </m:oMath>
      <w:r>
        <w:t xml:space="preserve"> </w:t>
      </w:r>
      <w:r>
        <w:t xml:space="preserve">and variance component</w:t>
      </w:r>
      <w:r>
        <w:t xml:space="preserve"> </w:t>
      </w:r>
      <m:oMath>
        <m:sSub>
          <m:e>
            <m:r>
              <m:t>σ</m:t>
            </m:r>
          </m:e>
          <m:sub>
            <m:r>
              <m:t>j</m:t>
            </m:r>
          </m:sub>
        </m:sSub>
      </m:oMath>
      <w:r>
        <w:t xml:space="preserve">. From</w:t>
      </w:r>
      <w:r>
        <w:t xml:space="preserve"> </w:t>
      </w:r>
      <m:oMath>
        <m:sSub>
          <m:e>
            <m:r>
              <m:rPr>
                <m:sty m:val="p"/>
                <m:scr m:val="script"/>
              </m:rPr>
              <m:t>L</m:t>
            </m:r>
          </m:e>
          <m:sub>
            <m:r>
              <m:t>Y</m:t>
            </m:r>
          </m:sub>
        </m:sSub>
      </m:oMath>
      <w:r>
        <w:t xml:space="preserve"> </w:t>
      </w:r>
      <w:r>
        <w:t xml:space="preserve">we can derive</w:t>
      </w:r>
      <w:r>
        <w:t xml:space="preserve"> </w:t>
      </w:r>
      <m:oMath>
        <m:r>
          <m:t>E</m:t>
        </m:r>
        <m:r>
          <m:t>(</m:t>
        </m:r>
        <m:sSub>
          <m:e>
            <m:r>
              <m:t>D</m:t>
            </m:r>
          </m:e>
          <m:sub>
            <m:r>
              <m:t>j</m:t>
            </m:r>
          </m:sub>
        </m:sSub>
        <m:r>
          <m:t>|</m:t>
        </m:r>
        <m:sSub>
          <m:e>
            <m:r>
              <m:t>D</m:t>
            </m:r>
          </m:e>
          <m:sub>
            <m:r>
              <m:t>j</m:t>
            </m:r>
          </m:sub>
        </m:sSub>
        <m:r>
          <m:t>&gt;</m:t>
        </m:r>
        <m:r>
          <m:t>0</m:t>
        </m:r>
        <m:r>
          <m:t>)</m:t>
        </m:r>
      </m:oMath>
      <w:r>
        <w:t xml:space="preserve"> </w:t>
      </w:r>
      <w:r>
        <w:t xml:space="preserve">and</w:t>
      </w:r>
      <w:r>
        <w:t xml:space="preserve"> </w:t>
      </w:r>
      <m:oMath>
        <m:r>
          <m:t>V</m:t>
        </m:r>
        <m:r>
          <m:t>a</m:t>
        </m:r>
        <m:r>
          <m:t>r</m:t>
        </m:r>
        <m:r>
          <m:t>(</m:t>
        </m:r>
        <m:sSub>
          <m:e>
            <m:r>
              <m:t>D</m:t>
            </m:r>
          </m:e>
          <m:sub>
            <m:r>
              <m:t>j</m:t>
            </m:r>
          </m:sub>
        </m:sSub>
        <m:r>
          <m:t>|</m:t>
        </m:r>
        <m:sSub>
          <m:e>
            <m:r>
              <m:t>D</m:t>
            </m:r>
          </m:e>
          <m:sub>
            <m:r>
              <m:t>j</m:t>
            </m:r>
          </m:sub>
        </m:sSub>
        <m:r>
          <m:t>&gt;</m:t>
        </m:r>
        <m:r>
          <m:t>0</m:t>
        </m:r>
        <m:r>
          <m:t>)</m:t>
        </m:r>
      </m:oMath>
      <w:r>
        <w:t xml:space="preserve"> </w:t>
      </w:r>
      <w:r>
        <w:t xml:space="preserve">(given below) and re-express</w:t>
      </w:r>
      <w:r>
        <w:t xml:space="preserve"> </w:t>
      </w:r>
      <m:oMath>
        <m:sSub>
          <m:e>
            <m:r>
              <m:t>μ</m:t>
            </m:r>
          </m:e>
          <m:sub>
            <m:r>
              <m:t>j</m:t>
            </m:r>
          </m:sub>
        </m:sSub>
      </m:oMath>
      <w:r>
        <w:t xml:space="preserve"> </w:t>
      </w:r>
      <w:r>
        <w:t xml:space="preserve">and</w:t>
      </w:r>
      <w:r>
        <w:t xml:space="preserve"> </w:t>
      </w:r>
      <m:oMath>
        <m:sSub>
          <m:e>
            <m:r>
              <m:t>σ</m:t>
            </m:r>
          </m:e>
          <m:sub>
            <m:r>
              <m:t>j</m:t>
            </m:r>
          </m:sub>
        </m:sSub>
      </m:oMath>
      <w:r>
        <w:t xml:space="preserve"> </w:t>
      </w:r>
      <w:r>
        <w:t xml:space="preserve">as a function of these two moments.</w:t>
      </w:r>
    </w:p>
    <w:p>
      <w:pPr>
        <w:pStyle w:val="FirstParagraph"/>
      </w:pPr>
      <m:oMathPara>
        <m:oMathParaPr>
          <m:jc m:val="center"/>
        </m:oMathParaPr>
        <m:oMath>
          <m:r>
            <m:t>E</m:t>
          </m:r>
          <m:r>
            <m:t>(</m:t>
          </m:r>
          <m:sSub>
            <m:e>
              <m:r>
                <m:t>D</m:t>
              </m:r>
            </m:e>
            <m:sub>
              <m:r>
                <m:t>j</m:t>
              </m:r>
            </m:sub>
          </m:sSub>
          <m:r>
            <m:t>|</m:t>
          </m:r>
          <m:sSub>
            <m:e>
              <m:r>
                <m:t>D</m:t>
              </m:r>
            </m:e>
            <m:sub>
              <m:r>
                <m:t>j</m:t>
              </m:r>
            </m:sub>
          </m:sSub>
          <m:r>
            <m:t>&gt;</m:t>
          </m:r>
          <m:r>
            <m:t>0</m:t>
          </m:r>
          <m:r>
            <m:t>)</m:t>
          </m:r>
          <m:r>
            <m:t>=</m:t>
          </m:r>
          <m:f>
            <m:fPr>
              <m:type m:val="bar"/>
            </m:fPr>
            <m:num>
              <m:nary>
                <m:naryPr>
                  <m:chr m:val="∑"/>
                  <m:limLoc m:val="undOvr"/>
                  <m:subHide m:val="0"/>
                  <m:supHide m:val="1"/>
                </m:naryPr>
                <m:sub>
                  <m:r>
                    <m:t>i</m:t>
                  </m:r>
                  <m:r>
                    <m:t>∈</m:t>
                  </m:r>
                  <m:sSub>
                    <m:e>
                      <m:r>
                        <m:rPr>
                          <m:sty m:val="p"/>
                          <m:scr m:val="script"/>
                        </m:rPr>
                        <m:t>P</m:t>
                      </m:r>
                    </m:e>
                    <m:sub>
                      <m:r>
                        <m:t>j</m:t>
                      </m:r>
                    </m:sub>
                  </m:sSub>
                </m:sub>
                <m:sup>
                  <m:r>
                    <m:t>​</m:t>
                  </m:r>
                </m:sup>
                <m:e>
                  <m:r>
                    <m:t>S</m:t>
                  </m:r>
                </m:e>
              </m:nary>
              <m:r>
                <m:t>(</m:t>
              </m:r>
              <m:sSub>
                <m:e>
                  <m:r>
                    <m:t>x</m:t>
                  </m:r>
                </m:e>
                <m:sub>
                  <m:r>
                    <m:t>i</m:t>
                  </m:r>
                </m:sub>
              </m:sSub>
              <m:r>
                <m:t>)</m:t>
              </m:r>
            </m:num>
            <m:den>
              <m:r>
                <m:t>1</m:t>
              </m:r>
              <m:r>
                <m:t>−</m:t>
              </m:r>
              <m:sSub>
                <m:e>
                  <m:r>
                    <m:t>π</m:t>
                  </m:r>
                </m:e>
                <m:sub>
                  <m:r>
                    <m:t>j</m:t>
                  </m:r>
                </m:sub>
              </m:sSub>
            </m:den>
          </m:f>
        </m:oMath>
      </m:oMathPara>
    </w:p>
    <w:p>
      <w:pPr>
        <w:pStyle w:val="FirstParagraph"/>
      </w:pPr>
      <m:oMathPara>
        <m:oMathParaPr>
          <m:jc m:val="center"/>
        </m:oMathParaPr>
        <m:oMath>
          <m:r>
            <m:t>V</m:t>
          </m:r>
          <m:r>
            <m:t>a</m:t>
          </m:r>
          <m:r>
            <m:t>r</m:t>
          </m:r>
          <m:r>
            <m:t>(</m:t>
          </m:r>
          <m:sSub>
            <m:e>
              <m:r>
                <m:t>D</m:t>
              </m:r>
            </m:e>
            <m:sub>
              <m:r>
                <m:t>j</m:t>
              </m:r>
            </m:sub>
          </m:sSub>
          <m:r>
            <m:t>|</m:t>
          </m:r>
          <m:sSub>
            <m:e>
              <m:r>
                <m:t>D</m:t>
              </m:r>
            </m:e>
            <m:sub>
              <m:r>
                <m:t>j</m:t>
              </m:r>
            </m:sub>
          </m:sSub>
          <m:r>
            <m:t>&gt;</m:t>
          </m:r>
          <m:r>
            <m:t>0</m:t>
          </m:r>
          <m:r>
            <m:t>)</m:t>
          </m:r>
          <m:r>
            <m:t>=</m:t>
          </m:r>
          <m:f>
            <m:fPr>
              <m:type m:val="bar"/>
            </m:fPr>
            <m:num>
              <m:nary>
                <m:naryPr>
                  <m:chr m:val="∑"/>
                  <m:limLoc m:val="undOvr"/>
                  <m:subHide m:val="0"/>
                  <m:supHide m:val="1"/>
                </m:naryPr>
                <m:sub>
                  <m:r>
                    <m:t>i</m:t>
                  </m:r>
                  <m:r>
                    <m:t>∈</m:t>
                  </m:r>
                  <m:sSub>
                    <m:e>
                      <m:r>
                        <m:rPr>
                          <m:sty m:val="p"/>
                          <m:scr m:val="script"/>
                        </m:rPr>
                        <m:t>P</m:t>
                      </m:r>
                    </m:e>
                    <m:sub>
                      <m:r>
                        <m:t>j</m:t>
                      </m:r>
                    </m:sub>
                  </m:sSub>
                </m:sub>
                <m:sup>
                  <m:r>
                    <m:t>​</m:t>
                  </m:r>
                </m:sup>
                <m:e>
                  <m:r>
                    <m:t>V</m:t>
                  </m:r>
                </m:e>
              </m:nary>
              <m:r>
                <m:t>a</m:t>
              </m:r>
              <m:r>
                <m:t>r</m:t>
              </m:r>
              <m:r>
                <m:t>(</m:t>
              </m:r>
              <m:sSub>
                <m:e>
                  <m:r>
                    <m:t>Y</m:t>
                  </m:r>
                </m:e>
                <m:sub>
                  <m:r>
                    <m:t>i</m:t>
                  </m:r>
                </m:sub>
              </m:sSub>
              <m:r>
                <m:t>)</m:t>
              </m:r>
            </m:num>
            <m:den>
              <m:r>
                <m:t>1</m:t>
              </m:r>
              <m:r>
                <m:t>−</m:t>
              </m:r>
              <m:sSub>
                <m:e>
                  <m:r>
                    <m:t>π</m:t>
                  </m:r>
                </m:e>
                <m:sub>
                  <m:r>
                    <m:t>j</m:t>
                  </m:r>
                </m:sub>
              </m:sSub>
            </m:den>
          </m:f>
          <m:r>
            <m:t>−</m:t>
          </m:r>
          <m:f>
            <m:fPr>
              <m:type m:val="bar"/>
            </m:fPr>
            <m:num>
              <m:sSub>
                <m:e>
                  <m:r>
                    <m:t>π</m:t>
                  </m:r>
                </m:e>
                <m:sub>
                  <m:r>
                    <m:t>j</m:t>
                  </m:r>
                </m:sub>
              </m:sSub>
            </m:num>
            <m:den>
              <m:r>
                <m:t>(</m:t>
              </m:r>
              <m:r>
                <m:t>1</m:t>
              </m:r>
              <m:r>
                <m:t>−</m:t>
              </m:r>
              <m:sSub>
                <m:e>
                  <m:r>
                    <m:t>π</m:t>
                  </m:r>
                </m:e>
                <m:sub>
                  <m:r>
                    <m:t>j</m:t>
                  </m:r>
                </m:sub>
              </m:sSub>
              <m:sSup>
                <m:e>
                  <m:r>
                    <m:t>)</m:t>
                  </m:r>
                </m:e>
                <m:sup>
                  <m:r>
                    <m:t>2</m:t>
                  </m:r>
                </m:sup>
              </m:sSup>
            </m:den>
          </m:f>
          <m:r>
            <m:t>E</m:t>
          </m:r>
          <m:r>
            <m:t>(</m:t>
          </m:r>
          <m:sSub>
            <m:e>
              <m:r>
                <m:t>D</m:t>
              </m:r>
            </m:e>
            <m:sub>
              <m:r>
                <m:t>j</m:t>
              </m:r>
            </m:sub>
          </m:sSub>
          <m:sSup>
            <m:e>
              <m:r>
                <m:t>)</m:t>
              </m:r>
            </m:e>
            <m:sup>
              <m:r>
                <m:t>2</m:t>
              </m:r>
            </m:sup>
          </m:sSup>
        </m:oMath>
      </m:oMathPara>
    </w:p>
    <w:p>
      <w:pPr>
        <w:pStyle w:val="FirstParagraph"/>
      </w:pPr>
      <m:oMathPara>
        <m:oMathParaPr>
          <m:jc m:val="center"/>
        </m:oMathParaPr>
        <m:oMath>
          <m:r>
            <m:t>V</m:t>
          </m:r>
          <m:r>
            <m:t>a</m:t>
          </m:r>
          <m:r>
            <m:t>r</m:t>
          </m:r>
          <m:r>
            <m:t>(</m:t>
          </m:r>
          <m:sSub>
            <m:e>
              <m:r>
                <m:t>Y</m:t>
              </m:r>
            </m:e>
            <m:sub>
              <m:r>
                <m:t>i</m:t>
              </m:r>
            </m:sub>
          </m:sSub>
          <m:r>
            <m:t>)</m:t>
          </m:r>
          <m:r>
            <m:t>=</m:t>
          </m:r>
          <m:f>
            <m:fPr>
              <m:type m:val="bar"/>
            </m:fPr>
            <m:num>
              <m:r>
                <m:t>S</m:t>
              </m:r>
              <m:r>
                <m:t>(</m:t>
              </m:r>
              <m:sSub>
                <m:e>
                  <m:r>
                    <m:t>x</m:t>
                  </m:r>
                </m:e>
                <m:sub>
                  <m:r>
                    <m:t>i</m:t>
                  </m:r>
                </m:sub>
              </m:sSub>
              <m:sSup>
                <m:e>
                  <m:r>
                    <m:t>)</m:t>
                  </m:r>
                </m:e>
                <m:sup>
                  <m:r>
                    <m:t>2</m:t>
                  </m:r>
                </m:sup>
              </m:sSup>
            </m:num>
            <m:den>
              <m:r>
                <m:t>1</m:t>
              </m:r>
              <m:r>
                <m:t>−</m:t>
              </m:r>
              <m:sSub>
                <m:e>
                  <m:r>
                    <m:t>p</m:t>
                  </m:r>
                </m:e>
                <m:sub>
                  <m:r>
                    <m:t>i</m:t>
                  </m:r>
                </m:sub>
              </m:sSub>
            </m:den>
          </m:f>
          <m:r>
            <m:t>(</m:t>
          </m:r>
          <m:sSup>
            <m:e>
              <m:r>
                <m:t>e</m:t>
              </m:r>
            </m:e>
            <m:sup>
              <m:sSup>
                <m:e>
                  <m:r>
                    <m:t>σ</m:t>
                  </m:r>
                </m:e>
                <m:sup>
                  <m:r>
                    <m:t>2</m:t>
                  </m:r>
                </m:sup>
              </m:sSup>
            </m:sup>
          </m:sSup>
          <m:r>
            <m:t>−</m:t>
          </m:r>
          <m:r>
            <m:t>(</m:t>
          </m:r>
          <m:r>
            <m:t>1</m:t>
          </m:r>
          <m:r>
            <m:t>−</m:t>
          </m:r>
          <m:sSub>
            <m:e>
              <m:r>
                <m:t>p</m:t>
              </m:r>
            </m:e>
            <m:sub>
              <m:r>
                <m:t>i</m:t>
              </m:r>
            </m:sub>
          </m:sSub>
          <m:r>
            <m:t>)</m:t>
          </m:r>
          <m:r>
            <m:t>)</m:t>
          </m:r>
        </m:oMath>
      </m:oMathPara>
    </w:p>
    <w:p>
      <w:pPr>
        <w:pStyle w:val="FirstParagraph"/>
      </w:pPr>
      <w:r>
        <w:t xml:space="preserve">If we consider</w:t>
      </w:r>
      <w:r>
        <w:t xml:space="preserve"> </w:t>
      </w:r>
      <m:oMath>
        <m:sSub>
          <m:e>
            <m:r>
              <m:rPr>
                <m:sty m:val="p"/>
                <m:scr m:val="script"/>
              </m:rPr>
              <m:t>L</m:t>
            </m:r>
          </m:e>
          <m:sub>
            <m:sSub>
              <m:e>
                <m:r>
                  <m:t>D</m:t>
                </m:r>
              </m:e>
              <m:sub>
                <m:r>
                  <m:t>j</m:t>
                </m:r>
              </m:sub>
            </m:sSub>
            <m:r>
              <m:t>|</m:t>
            </m:r>
            <m:sSub>
              <m:e>
                <m:r>
                  <m:t>D</m:t>
                </m:r>
              </m:e>
              <m:sub>
                <m:r>
                  <m:t>j</m:t>
                </m:r>
              </m:sub>
            </m:sSub>
            <m:r>
              <m:t>&gt;</m:t>
            </m:r>
            <m:r>
              <m:t>0</m:t>
            </m:r>
          </m:sub>
        </m:sSub>
      </m:oMath>
      <w:r>
        <w:t xml:space="preserve"> </w:t>
      </w:r>
      <w:r>
        <w:t xml:space="preserve">is lognormal (with parameterization described in SM…) then,</w:t>
      </w:r>
      <w:r>
        <w:t xml:space="preserve"> </w:t>
      </w:r>
      <m:oMath>
        <m:sSub>
          <m:e>
            <m:r>
              <m:t>μ</m:t>
            </m:r>
          </m:e>
          <m:sub>
            <m:r>
              <m:t>j</m:t>
            </m:r>
          </m:sub>
        </m:sSub>
        <m:r>
          <m:t>=</m:t>
        </m:r>
        <m:r>
          <m:t>E</m:t>
        </m:r>
        <m:r>
          <m:t>(</m:t>
        </m:r>
        <m:r>
          <m:t>D</m:t>
        </m:r>
        <m:r>
          <m:t>|</m:t>
        </m:r>
        <m:sSub>
          <m:e>
            <m:r>
              <m:t>D</m:t>
            </m:r>
          </m:e>
          <m:sub>
            <m:r>
              <m:t>j</m:t>
            </m:r>
          </m:sub>
        </m:sSub>
        <m:r>
          <m:t>&gt;</m:t>
        </m:r>
        <m:r>
          <m:t>0</m:t>
        </m:r>
        <m:r>
          <m:t>)</m:t>
        </m:r>
      </m:oMath>
      <w:r>
        <w:t xml:space="preserve"> </w:t>
      </w:r>
      <w:r>
        <w:t xml:space="preserve">and</w:t>
      </w:r>
      <w:r>
        <w:t xml:space="preserve"> </w:t>
      </w:r>
      <m:oMath>
        <m:sSub>
          <m:e>
            <m:r>
              <m:t>σ</m:t>
            </m:r>
          </m:e>
          <m:sub>
            <m:r>
              <m:t>j</m:t>
            </m:r>
          </m:sub>
        </m:sSub>
        <m:r>
          <m:t>=</m:t>
        </m:r>
        <m:r>
          <m:t>l</m:t>
        </m:r>
        <m:r>
          <m:t>n</m:t>
        </m:r>
        <m:r>
          <m:t>(</m:t>
        </m:r>
        <m:f>
          <m:fPr>
            <m:type m:val="bar"/>
          </m:fPr>
          <m:num>
            <m:r>
              <m:t>V</m:t>
            </m:r>
            <m:r>
              <m:t>a</m:t>
            </m:r>
            <m:r>
              <m:t>r</m:t>
            </m:r>
            <m:r>
              <m:t>(</m:t>
            </m:r>
            <m:r>
              <m:t>D</m:t>
            </m:r>
            <m:r>
              <m:t>|</m:t>
            </m:r>
            <m:sSub>
              <m:e>
                <m:r>
                  <m:t>D</m:t>
                </m:r>
              </m:e>
              <m:sub>
                <m:r>
                  <m:t>j</m:t>
                </m:r>
              </m:sub>
            </m:sSub>
            <m:r>
              <m:t>&gt;</m:t>
            </m:r>
            <m:r>
              <m:t>0</m:t>
            </m:r>
            <m:r>
              <m:t>)</m:t>
            </m:r>
          </m:num>
          <m:den>
            <m:r>
              <m:t>E</m:t>
            </m:r>
            <m:r>
              <m:t>(</m:t>
            </m:r>
            <m:r>
              <m:t>D</m:t>
            </m:r>
            <m:r>
              <m:t>|</m:t>
            </m:r>
            <m:sSub>
              <m:e>
                <m:r>
                  <m:t>D</m:t>
                </m:r>
              </m:e>
              <m:sub>
                <m:r>
                  <m:t>j</m:t>
                </m:r>
              </m:sub>
            </m:sSub>
            <m:r>
              <m:t>&gt;</m:t>
            </m:r>
            <m:r>
              <m:t>0</m:t>
            </m:r>
            <m:sSup>
              <m:e>
                <m:r>
                  <m:t>)</m:t>
                </m:r>
              </m:e>
              <m:sup>
                <m:r>
                  <m:t>2</m:t>
                </m:r>
              </m:sup>
            </m:sSup>
          </m:den>
        </m:f>
        <m:r>
          <m:t>+</m:t>
        </m:r>
        <m:r>
          <m:t>1</m:t>
        </m:r>
        <m:r>
          <m:t>)</m:t>
        </m:r>
      </m:oMath>
      <w:r>
        <w:t xml:space="preserve">. All calculations to obtain these formulas are available in SM. By fitting the model on declaration</w:t>
      </w:r>
      <w:r>
        <w:t xml:space="preserve"> </w:t>
      </w:r>
      <m:oMath>
        <m:sSub>
          <m:e>
            <m:r>
              <m:t>D</m:t>
            </m:r>
          </m:e>
          <m:sub>
            <m:r>
              <m:t>j</m:t>
            </m:r>
          </m:sub>
        </m:sSub>
      </m:oMath>
      <w:r>
        <w:t xml:space="preserve"> </w:t>
      </w:r>
      <w:r>
        <w:t xml:space="preserve">rather than reallocated catch</w:t>
      </w:r>
      <w:r>
        <w:t xml:space="preserve"> </w:t>
      </w:r>
      <m:oMath>
        <m:sSub>
          <m:e>
            <m:r>
              <m:t>Y</m:t>
            </m:r>
          </m:e>
          <m:sub>
            <m:r>
              <m:t>i</m:t>
            </m:r>
          </m:sub>
        </m:sSub>
      </m:oMath>
      <w:r>
        <w:t xml:space="preserve"> </w:t>
      </w:r>
      <w:r>
        <w:t xml:space="preserve">and linking</w:t>
      </w:r>
      <w:r>
        <w:t xml:space="preserve"> </w:t>
      </w:r>
      <m:oMath>
        <m:sSub>
          <m:e>
            <m:r>
              <m:rPr>
                <m:sty m:val="p"/>
                <m:scr m:val="script"/>
              </m:rPr>
              <m:t>L</m:t>
            </m:r>
          </m:e>
          <m:sub>
            <m:r>
              <m:t>D</m:t>
            </m:r>
          </m:sub>
        </m:sSub>
      </m:oMath>
      <w:r>
        <w:t xml:space="preserve"> </w:t>
      </w:r>
      <w:r>
        <w:t xml:space="preserve">to</w:t>
      </w:r>
      <w:r>
        <w:t xml:space="preserve"> </w:t>
      </w:r>
      <m:oMath>
        <m:sSub>
          <m:e>
            <m:r>
              <m:rPr>
                <m:sty m:val="p"/>
                <m:scr m:val="script"/>
              </m:rPr>
              <m:t>L</m:t>
            </m:r>
          </m:e>
          <m:sub>
            <m:r>
              <m:t>Y</m:t>
            </m:r>
          </m:sub>
        </m:sSub>
      </m:oMath>
      <w:r>
        <w:t xml:space="preserve">, we intend to better follow the observation process of the commercial data and potentially improve inference compared with the approximation realized through uniform reallocation.</w:t>
      </w:r>
    </w:p>
    <w:p>
      <w:pPr>
        <w:pStyle w:val="Corpsdetexte"/>
      </w:pPr>
      <w:r>
        <w:t xml:space="preserve">The inference is realized through Template Model Builder (TMB), an effective tool to build hierarchical models and perform maximum likelihood estimation through automatic differentiation and Laplace Approximation</w:t>
      </w:r>
      <w:r>
        <w:t xml:space="preserve"> </w:t>
      </w:r>
      <w:r>
        <w:t xml:space="preserve">(Kristensen, Nielsen, Berg, Skaug, &amp; Bell, 2016)</w:t>
      </w:r>
      <w:r>
        <w:t xml:space="preserve">.</w:t>
      </w:r>
    </w:p>
    <w:p>
      <w:pPr>
        <w:pStyle w:val="CaptionedFigure"/>
      </w:pPr>
      <w:r>
        <w:drawing>
          <wp:inline>
            <wp:extent cx="5969000" cy="2640623"/>
            <wp:effectExtent b="0" l="0" r="0" t="0"/>
            <wp:docPr descr="Figure 1.   Scheme of the reallocation process." title="" id="1" name="Picture"/>
            <a:graphic>
              <a:graphicData uri="http://schemas.openxmlformats.org/drawingml/2006/picture">
                <pic:pic>
                  <pic:nvPicPr>
                    <pic:cNvPr descr="images/realloc.png" id="0" name="Picture"/>
                    <pic:cNvPicPr>
                      <a:picLocks noChangeArrowheads="1" noChangeAspect="1"/>
                    </pic:cNvPicPr>
                  </pic:nvPicPr>
                  <pic:blipFill>
                    <a:blip r:embed="rId27"/>
                    <a:stretch>
                      <a:fillRect/>
                    </a:stretch>
                  </pic:blipFill>
                  <pic:spPr bwMode="auto">
                    <a:xfrm>
                      <a:off x="0" y="0"/>
                      <a:ext cx="5969000" cy="264062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Scheme of the reallocation process.</w:t>
      </w:r>
    </w:p>
    <w:p>
      <w:pPr>
        <w:pStyle w:val="Titre2"/>
      </w:pPr>
      <w:bookmarkStart w:id="28" w:name="simulation-estimation"/>
      <w:r>
        <w:t xml:space="preserve">Simulation-estimation</w:t>
      </w:r>
      <w:bookmarkEnd w:id="28"/>
    </w:p>
    <w:p>
      <w:pPr>
        <w:pStyle w:val="FirstParagraph"/>
      </w:pPr>
      <w:r>
        <w:t xml:space="preserve">To evaluate what bring the performance of the new approach, we assess models performance through simulation-estimation.</w:t>
      </w:r>
    </w:p>
    <w:p>
      <w:pPr>
        <w:pStyle w:val="Corpsdetexte"/>
      </w:pPr>
      <w:r>
        <w:t xml:space="preserve">First, we conduct basic simulations in order to explore the base properties of the framework and the effect of some key variables on model performance. We assume the study domain is a single statistical rectangle, only commercial data feed the model and the expression of the latent field in both simulation and estimation is simplified (the variability only depends on one covariate, not on a spatial random term). These simulations will be referred as single-square simulations.</w:t>
      </w:r>
    </w:p>
    <w:p>
      <w:pPr>
        <w:pStyle w:val="Corpsdetexte"/>
      </w:pPr>
      <w:r>
        <w:t xml:space="preserve">Then, we extend the simulation-estimation study to several rectangles to get closer to a real case study configuration. We add a spatial random effect in the latent field (for both simulation and estimation) and we also simulate scientific data (in addition to commercial data) to explore the contribution of both datasets in inference. These simulations will be referred as multiple-square simulations.</w:t>
      </w:r>
    </w:p>
    <w:p>
      <w:pPr>
        <w:pStyle w:val="Corpsdetexte"/>
      </w:pPr>
      <w:r>
        <w:t xml:space="preserve">In these two sets of simulation-estimation, the covariate is modelled as a continous GRF that we suppose known at each point of the grid. The covariate effect is fixed to</w:t>
      </w:r>
      <w:r>
        <w:t xml:space="preserve"> </w:t>
      </w:r>
      <m:oMath>
        <m:sSub>
          <m:e>
            <m:r>
              <m:t>β</m:t>
            </m:r>
          </m:e>
          <m:sub>
            <m:r>
              <m:t>S</m:t>
            </m:r>
          </m:sub>
        </m:sSub>
        <m:r>
          <m:t>=</m:t>
        </m:r>
        <m:r>
          <m:t>2</m:t>
        </m:r>
      </m:oMath>
      <w:r>
        <w:t xml:space="preserve"> </w:t>
      </w:r>
      <w:r>
        <w:t xml:space="preserve">and the intercept is also fixed to</w:t>
      </w:r>
      <w:r>
        <w:t xml:space="preserve"> </w:t>
      </w:r>
      <m:oMath>
        <m:r>
          <m:t>μ</m:t>
        </m:r>
        <m:r>
          <m:t>=</m:t>
        </m:r>
        <m:r>
          <m:t>2</m:t>
        </m:r>
      </m:oMath>
      <w:r>
        <w:t xml:space="preserve">. Regarding commercial data, the number of fishing pings per declaration is fixed to 10 as it is the average number of fishing locations for a single declaration in real data. All parameterizations are detailed in the Table 1.</w:t>
      </w:r>
    </w:p>
    <w:p>
      <w:pPr>
        <w:pStyle w:val="Compact"/>
      </w:pPr>
      <w:r>
        <w:t xml:space="preserve">Table 1: Parameter values of the simulations</w:t>
      </w:r>
    </w:p>
    <w:p>
      <w:pPr>
        <w:pStyle w:val="Compact"/>
      </w:pPr>
      <w:r>
        <w:t xml:space="preserve">Parameter</w:t>
      </w:r>
    </w:p>
    <w:p>
      <w:pPr>
        <w:pStyle w:val="Compact"/>
      </w:pPr>
      <w:r>
        <w:rPr>
          <w:b/>
        </w:rPr>
        <w:t xml:space="preserve">Single-square simulations</w:t>
      </w:r>
    </w:p>
    <w:p>
      <w:pPr>
        <w:pStyle w:val="Compact"/>
      </w:pPr>
      <w:r>
        <w:rPr>
          <w:b/>
        </w:rPr>
        <w:t xml:space="preserve">Multiple-square simulations</w:t>
      </w:r>
    </w:p>
    <w:p>
      <w:pPr>
        <w:pStyle w:val="Compact"/>
      </w:pPr>
      <m:oMath>
        <m:r>
          <m:t>μ</m:t>
        </m:r>
      </m:oMath>
    </w:p>
    <w:p>
      <w:pPr>
        <w:pStyle w:val="Compact"/>
      </w:pPr>
      <w:r>
        <w:t xml:space="preserve">2</w:t>
      </w:r>
    </w:p>
    <w:p>
      <w:pPr>
        <w:pStyle w:val="Compact"/>
      </w:pPr>
      <w:r>
        <w:t xml:space="preserve">2</w:t>
      </w:r>
    </w:p>
    <w:p>
      <w:pPr>
        <w:pStyle w:val="Compact"/>
      </w:pPr>
      <m:oMath>
        <m:sSub>
          <m:e>
            <m:r>
              <m:t>β</m:t>
            </m:r>
          </m:e>
          <m:sub>
            <m:r>
              <m:t>S</m:t>
            </m:r>
          </m:sub>
        </m:sSub>
      </m:oMath>
    </w:p>
    <w:p>
      <w:pPr>
        <w:pStyle w:val="Compact"/>
      </w:pPr>
      <w:r>
        <w:t xml:space="preserve">2</w:t>
      </w:r>
    </w:p>
    <w:p>
      <w:pPr>
        <w:pStyle w:val="Compact"/>
      </w:pPr>
      <w:r>
        <w:t xml:space="preserve">2</w:t>
      </w:r>
    </w:p>
    <w:p>
      <w:pPr>
        <w:pStyle w:val="Compact"/>
      </w:pPr>
      <m:oMath>
        <m:r>
          <m:rPr>
            <m:nor/>
            <m:sty m:val="p"/>
          </m:rPr>
          <m:t>Range</m:t>
        </m:r>
      </m:oMath>
    </w:p>
    <w:p>
      <w:pPr>
        <w:pStyle w:val="Compact"/>
      </w:pPr>
      <w:r>
        <w:t xml:space="preserve">–</w:t>
      </w:r>
    </w:p>
    <w:p>
      <w:pPr>
        <w:pStyle w:val="Compact"/>
      </w:pPr>
      <w:r>
        <w:t xml:space="preserve">1.5</w:t>
      </w:r>
    </w:p>
    <w:p>
      <w:pPr>
        <w:pStyle w:val="Compact"/>
      </w:pPr>
      <m:oMath>
        <m:r>
          <m:rPr>
            <m:nor/>
            <m:sty m:val="p"/>
          </m:rPr>
          <m:t>Marginal variance</m:t>
        </m:r>
      </m:oMath>
    </w:p>
    <w:p>
      <w:pPr>
        <w:pStyle w:val="Compact"/>
      </w:pPr>
      <w:r>
        <w:t xml:space="preserve">–</w:t>
      </w:r>
    </w:p>
    <w:p>
      <w:pPr>
        <w:pStyle w:val="Compact"/>
      </w:pPr>
      <w:r>
        <w:t xml:space="preserve">0.5</w:t>
      </w:r>
    </w:p>
    <w:p>
      <w:pPr>
        <w:pStyle w:val="Compact"/>
      </w:pPr>
      <m:oMath>
        <m:sSub>
          <m:e>
            <m:r>
              <m:t>ξ</m:t>
            </m:r>
          </m:e>
          <m:sub>
            <m:r>
              <m:t>c</m:t>
            </m:r>
            <m:r>
              <m:t>o</m:t>
            </m:r>
            <m:r>
              <m:t>m</m:t>
            </m:r>
          </m:sub>
        </m:sSub>
      </m:oMath>
    </w:p>
    <w:p>
      <w:pPr>
        <w:pStyle w:val="Compact"/>
      </w:pPr>
      <w:r>
        <w:t xml:space="preserve">-1</w:t>
      </w:r>
    </w:p>
    <w:p>
      <w:pPr>
        <w:pStyle w:val="Compact"/>
      </w:pPr>
      <w:r>
        <w:t xml:space="preserve">-1</w:t>
      </w:r>
    </w:p>
    <w:p>
      <w:pPr>
        <w:pStyle w:val="Compact"/>
      </w:pPr>
      <m:oMath>
        <m:sSub>
          <m:e>
            <m:r>
              <m:t>σ</m:t>
            </m:r>
          </m:e>
          <m:sub>
            <m:r>
              <m:t>c</m:t>
            </m:r>
            <m:r>
              <m:t>o</m:t>
            </m:r>
            <m:r>
              <m:t>m</m:t>
            </m:r>
          </m:sub>
        </m:sSub>
      </m:oMath>
    </w:p>
    <w:p>
      <w:pPr>
        <w:pStyle w:val="Compact"/>
      </w:pPr>
      <w:r>
        <w:t xml:space="preserve">1</w:t>
      </w:r>
    </w:p>
    <w:p>
      <w:pPr>
        <w:pStyle w:val="Compact"/>
      </w:pPr>
      <w:r>
        <w:t xml:space="preserve">1</w:t>
      </w:r>
    </w:p>
    <w:p>
      <w:pPr>
        <w:pStyle w:val="Compact"/>
      </w:pPr>
      <w:r>
        <w:t xml:space="preserve">$\k_{com}$</w:t>
      </w:r>
    </w:p>
    <w:p>
      <w:pPr>
        <w:pStyle w:val="Compact"/>
      </w:pPr>
      <w:r>
        <w:t xml:space="preserve">–</w:t>
      </w:r>
    </w:p>
    <w:p>
      <w:pPr>
        <w:pStyle w:val="Compact"/>
      </w:pPr>
      <w:r>
        <w:t xml:space="preserve">1</w:t>
      </w:r>
    </w:p>
    <w:p>
      <w:pPr>
        <w:pStyle w:val="Compact"/>
      </w:pPr>
      <m:oMath>
        <m:sSub>
          <m:e>
            <m:r>
              <m:t>ξ</m:t>
            </m:r>
          </m:e>
          <m:sub>
            <m:r>
              <m:t>s</m:t>
            </m:r>
            <m:r>
              <m:t>c</m:t>
            </m:r>
            <m:r>
              <m:t>i</m:t>
            </m:r>
          </m:sub>
        </m:sSub>
      </m:oMath>
    </w:p>
    <w:p>
      <w:pPr>
        <w:pStyle w:val="Compact"/>
      </w:pPr>
      <w:r>
        <w:t xml:space="preserve">–</w:t>
      </w:r>
    </w:p>
    <w:p>
      <w:pPr>
        <w:pStyle w:val="Compact"/>
      </w:pPr>
      <w:r>
        <w:t xml:space="preserve">0</w:t>
      </w:r>
    </w:p>
    <w:p>
      <w:pPr>
        <w:pStyle w:val="Compact"/>
      </w:pPr>
      <m:oMath>
        <m:sSub>
          <m:e>
            <m:r>
              <m:t>σ</m:t>
            </m:r>
          </m:e>
          <m:sub>
            <m:r>
              <m:t>s</m:t>
            </m:r>
            <m:r>
              <m:t>c</m:t>
            </m:r>
            <m:r>
              <m:t>i</m:t>
            </m:r>
          </m:sub>
        </m:sSub>
      </m:oMath>
    </w:p>
    <w:p>
      <w:pPr>
        <w:pStyle w:val="Compact"/>
      </w:pPr>
      <w:r>
        <w:t xml:space="preserve">–</w:t>
      </w:r>
    </w:p>
    <w:p>
      <w:pPr>
        <w:pStyle w:val="Compact"/>
      </w:pPr>
      <w:r>
        <w:t xml:space="preserve">0.8</w:t>
      </w:r>
    </w:p>
    <w:p>
      <w:pPr>
        <w:pStyle w:val="Corpsdetexte"/>
      </w:pPr>
      <w:r>
        <w:t xml:space="preserve">Each time we compare several model configurations and evaluate these in regards to 2 metrics:</w:t>
      </w:r>
    </w:p>
    <w:p>
      <w:pPr>
        <w:pStyle w:val="Compact"/>
        <w:numPr>
          <w:numId w:val="1004"/>
          <w:ilvl w:val="0"/>
        </w:numPr>
      </w:pPr>
      <w:r>
        <w:t xml:space="preserve">the MSPE which quantifies the accuracy of the spatial predictions of the latent field over the spatial domain (</w:t>
      </w:r>
      <m:oMath>
        <m:r>
          <m:t>n</m:t>
        </m:r>
      </m:oMath>
      <w:r>
        <w:t xml:space="preserve"> </w:t>
      </w:r>
      <w:r>
        <w:t xml:space="preserve">is the number of locations over the grid).</w:t>
      </w:r>
    </w:p>
    <w:p>
      <w:pPr>
        <w:pStyle w:val="FirstParagraph"/>
      </w:pPr>
      <m:oMathPara>
        <m:oMathParaPr>
          <m:jc m:val="center"/>
        </m:oMathParaPr>
        <m:oMath>
          <m:r>
            <m:t>M</m:t>
          </m:r>
          <m:r>
            <m:t>S</m:t>
          </m:r>
          <m:r>
            <m:t>P</m:t>
          </m:r>
          <m:r>
            <m:t>E</m:t>
          </m:r>
          <m:r>
            <m:t>=</m:t>
          </m:r>
          <m:f>
            <m:fPr>
              <m:type m:val="bar"/>
            </m:fPr>
            <m:num>
              <m:nary>
                <m:naryPr>
                  <m:chr m:val="∑"/>
                  <m:limLoc m:val="undOvr"/>
                  <m:subHide m:val="0"/>
                  <m:supHide m:val="1"/>
                </m:naryPr>
                <m:sub>
                  <m:r>
                    <m:t>x</m:t>
                  </m:r>
                </m:sub>
                <m:sup>
                  <m:r>
                    <m:t>​</m:t>
                  </m:r>
                </m:sup>
                <m:e>
                  <m:r>
                    <m:t>(</m:t>
                  </m:r>
                </m:e>
              </m:nary>
              <m:r>
                <m:t>S</m:t>
              </m:r>
              <m:r>
                <m:t>(</m:t>
              </m:r>
              <m:r>
                <m:t>x</m:t>
              </m:r>
              <m:r>
                <m:t>)</m:t>
              </m:r>
              <m:r>
                <m:t>−</m:t>
              </m:r>
              <m:acc>
                <m:accPr>
                  <m:chr m:val="̂"/>
                </m:accPr>
                <m:e>
                  <m:r>
                    <m:t>S</m:t>
                  </m:r>
                </m:e>
              </m:acc>
              <m:r>
                <m:t>(</m:t>
              </m:r>
              <m:r>
                <m:t>x</m:t>
              </m:r>
              <m:r>
                <m:t>)</m:t>
              </m:r>
              <m:sSup>
                <m:e>
                  <m:r>
                    <m:t>)</m:t>
                  </m:r>
                </m:e>
                <m:sup>
                  <m:r>
                    <m:t>2</m:t>
                  </m:r>
                </m:sup>
              </m:sSup>
            </m:num>
            <m:den>
              <m:r>
                <m:t>n</m:t>
              </m:r>
            </m:den>
          </m:f>
        </m:oMath>
      </m:oMathPara>
    </w:p>
    <w:p>
      <w:pPr>
        <w:pStyle w:val="Compact"/>
        <w:numPr>
          <w:numId w:val="1005"/>
          <w:ilvl w:val="0"/>
        </w:numPr>
      </w:pPr>
      <w:r>
        <w:t xml:space="preserve">the parameter of the species habitat relationship</w:t>
      </w:r>
      <w:r>
        <w:t xml:space="preserve"> </w:t>
      </w:r>
      <m:oMath>
        <m:sSub>
          <m:e>
            <m:r>
              <m:t>β</m:t>
            </m:r>
          </m:e>
          <m:sub>
            <m:r>
              <m:t>S</m:t>
            </m:r>
          </m:sub>
        </m:sSub>
      </m:oMath>
      <w:r>
        <w:t xml:space="preserve"> </w:t>
      </w:r>
      <w:r>
        <w:t xml:space="preserve">compared with its estimate</w:t>
      </w:r>
      <w:r>
        <w:t xml:space="preserve"> </w:t>
      </w:r>
      <m:oMath>
        <m:sSub>
          <m:e>
            <m:acc>
              <m:accPr>
                <m:chr m:val="̂"/>
              </m:accPr>
              <m:e>
                <m:r>
                  <m:t>β</m:t>
                </m:r>
              </m:e>
            </m:acc>
          </m:e>
          <m:sub>
            <m:r>
              <m:t>S</m:t>
            </m:r>
          </m:sub>
        </m:sSub>
      </m:oMath>
      <w:r>
        <w:t xml:space="preserve">.</w:t>
      </w:r>
    </w:p>
    <w:p>
      <w:pPr>
        <w:pStyle w:val="FirstParagraph"/>
      </w:pPr>
      <w:r>
        <w:rPr>
          <w:b/>
        </w:rPr>
        <w:t xml:space="preserve">Single-square simulations</w:t>
      </w:r>
    </w:p>
    <w:p>
      <w:pPr>
        <w:pStyle w:val="Corpsdetexte"/>
      </w:pPr>
      <w:r>
        <w:t xml:space="preserve">Two important variables may affect the accuracy of model outputs: the amount of commercial data and the number of fishing zones explored within one single declaration. In these simulations-estimations, we intend to explore the effect of these 2 variables.</w:t>
      </w:r>
    </w:p>
    <w:p>
      <w:pPr>
        <w:pStyle w:val="Corpsdetexte"/>
      </w:pPr>
      <w:r>
        <w:t xml:space="preserve">First, the amount of commercial data; it is expected that when increasing the amount of data the accuracy of the predictions will be improved. In simulations, we progressively increase the number of fishing positions (10, 100 and 1000 fishing pings). As there are 10 pings per declaration, this means that the number of declarations increases respectively (1, 10 and 100 declarations).</w:t>
      </w:r>
    </w:p>
    <w:p>
      <w:pPr>
        <w:pStyle w:val="Corpsdetexte"/>
      </w:pPr>
      <w:r>
        <w:t xml:space="preserve">Furthermore, the samples belonging to a single declaration can be sampled in a single restricted zone or can mix catches from distinct zones (within a unique statistical rectangle). Note that we make a distinction between fishing zones and statistical rectangles: fishing zones are included in a statistical rectangle and there can be several fishing zones within a statistical rectangles. Consequently, a declaration can mix catches that have been realized in zones of high biomass and in zones of low biomass. For instance, a declaration can aggregate data from several fishing operations that occured the same day within the same statistical rectangle, but that were realized on 2 distinct types of fishing grounds (and then on two distinct habitats). Reallocating uniformly the declaration will strongly homogeneise the actual catch, will mix up information from to different grounds and then may lead to a strong loss of accuracy in model outputs. It is expected that when the number of fishing zones within a declaration increases, the accuracy of the model outputs decreases. To assess the effect of such process, we simulated the pings of a fishing declaration assuming they were either realized in a single zone, in 3 distinct zones or in 5 distinct zones.</w:t>
      </w:r>
    </w:p>
    <w:p>
      <w:pPr>
        <w:pStyle w:val="Corpsdetexte"/>
      </w:pPr>
      <w:r>
        <w:t xml:space="preserve">Concretely, for each fishing declaration the fishing pings are sampled in 2 steps: first the centroid of the zones are randomly sampled over the statistical rectangle (here the simulation domain) and then the fishing positions are randomly sampled within the radius of the centroid of the zones. The zone size was chosen to be a square of side 7. This is a realistic order of magnitude if we consider each zone is one fishing operation and that for each fishing operation the distance of the operation will not exceed 30km.</w:t>
      </w:r>
    </w:p>
    <w:p>
      <w:pPr>
        <w:pStyle w:val="Corpsdetexte"/>
      </w:pPr>
      <w:r>
        <w:t xml:space="preserve">At each fishing position, a catch is realized conditionnally on the value of the latent field and follow the probability distribution described above (</w:t>
      </w:r>
      <m:oMath>
        <m:sSub>
          <m:e>
            <m:r>
              <m:rPr>
                <m:sty m:val="p"/>
                <m:scr m:val="script"/>
              </m:rPr>
              <m:t>L</m:t>
            </m:r>
          </m:e>
          <m:sub>
            <m:r>
              <m:t>y</m:t>
            </m:r>
          </m:sub>
        </m:sSub>
      </m:oMath>
      <w:r>
        <w:t xml:space="preserve">).</w:t>
      </w:r>
    </w:p>
    <w:p>
      <w:pPr>
        <w:pStyle w:val="Corpsdetexte"/>
      </w:pPr>
      <w:r>
        <w:t xml:space="preserve">We compare three simulation/estimation configurations:</w:t>
      </w:r>
    </w:p>
    <w:p>
      <w:pPr>
        <w:numPr>
          <w:numId w:val="1006"/>
          <w:ilvl w:val="0"/>
        </w:numPr>
      </w:pPr>
      <w:r>
        <w:t xml:space="preserve">a golden standard configuration: observations are known exactly and the</w:t>
      </w:r>
      <w:r>
        <w:t xml:space="preserve"> </w:t>
      </w:r>
      <m:oMath>
        <m:sSubSup>
          <m:e>
            <m:r>
              <m:t>Y</m:t>
            </m:r>
          </m:e>
          <m:sub>
            <m:r>
              <m:t>i</m:t>
            </m:r>
          </m:sub>
          <m:sup>
            <m:r>
              <m:t>*</m:t>
            </m:r>
          </m:sup>
        </m:sSubSup>
      </m:oMath>
      <w:r>
        <w:t xml:space="preserve"> </w:t>
      </w:r>
      <w:r>
        <w:t xml:space="preserve">model is fitted to the exact data.</w:t>
      </w:r>
    </w:p>
    <w:p>
      <w:pPr>
        <w:numPr>
          <w:numId w:val="1006"/>
          <w:ilvl w:val="0"/>
        </w:numPr>
      </w:pPr>
      <w:r>
        <w:t xml:space="preserve">a configuration corresponding to the actual situation (uniform reallocation): simulated catches are summed into declarations and reallocated over the related fishing locations. We then fit t</w:t>
      </w:r>
      <m:oMath>
        <m:sSubSup>
          <m:e>
            <m:r>
              <m:t>Y</m:t>
            </m:r>
          </m:e>
          <m:sub>
            <m:r>
              <m:t>i</m:t>
            </m:r>
          </m:sub>
          <m:sup>
            <m:r>
              <m:t>*</m:t>
            </m:r>
          </m:sup>
        </m:sSubSup>
      </m:oMath>
      <w:r>
        <w:t xml:space="preserve"> </w:t>
      </w:r>
      <w:r>
        <w:t xml:space="preserve">model (the model fitted to punctual reallocated data).</w:t>
      </w:r>
    </w:p>
    <w:p>
      <w:pPr>
        <w:numPr>
          <w:numId w:val="1006"/>
          <w:ilvl w:val="0"/>
        </w:numPr>
      </w:pPr>
      <w:r>
        <w:t xml:space="preserve">a configuration corresponding to our alternative approach: simulated catch are reallocated over fishing locations and we fit the</w:t>
      </w:r>
      <w:r>
        <w:t xml:space="preserve"> </w:t>
      </w:r>
      <m:oMath>
        <m:sSub>
          <m:e>
            <m:r>
              <m:t>D</m:t>
            </m:r>
          </m:e>
          <m:sub>
            <m:r>
              <m:t>j</m:t>
            </m:r>
          </m:sub>
        </m:sSub>
      </m:oMath>
      <w:r>
        <w:t xml:space="preserve"> </w:t>
      </w:r>
      <w:r>
        <w:t xml:space="preserve">model to the data (i.e. the one fitted at the level of declarations data).</w:t>
      </w:r>
    </w:p>
    <w:p>
      <w:pPr>
        <w:pStyle w:val="FirstParagraph"/>
      </w:pPr>
      <w:r>
        <w:t xml:space="preserve">In addition to the metrics we introduced to compare model configuration (</w:t>
      </w:r>
      <m:oMath>
        <m:r>
          <m:t>M</m:t>
        </m:r>
        <m:r>
          <m:t>S</m:t>
        </m:r>
        <m:r>
          <m:t>P</m:t>
        </m:r>
        <m:r>
          <m:t>E</m:t>
        </m:r>
      </m:oMath>
      <w:r>
        <w:t xml:space="preserve"> </w:t>
      </w:r>
      <w:r>
        <w:t xml:space="preserve">and species-habitat parameter</w:t>
      </w:r>
      <w:r>
        <w:t xml:space="preserve"> </w:t>
      </w:r>
      <m:oMath>
        <m:sSub>
          <m:e>
            <m:r>
              <m:t>β</m:t>
            </m:r>
          </m:e>
          <m:sub>
            <m:r>
              <m:t>S</m:t>
            </m:r>
          </m:sub>
        </m:sSub>
      </m:oMath>
      <w:r>
        <w:t xml:space="preserve">), we also assess the simulated/estimated values for the intercept</w:t>
      </w:r>
      <w:r>
        <w:t xml:space="preserve"> </w:t>
      </w:r>
      <m:oMath>
        <m:r>
          <m:t>μ</m:t>
        </m:r>
      </m:oMath>
      <w:r>
        <w:t xml:space="preserve">, the observation variance parameter</w:t>
      </w:r>
      <w:r>
        <w:t xml:space="preserve"> </w:t>
      </w:r>
      <m:oMath>
        <m:sSup>
          <m:e>
            <m:r>
              <m:t>σ</m:t>
            </m:r>
          </m:e>
          <m:sup>
            <m:r>
              <m:t>2</m:t>
            </m:r>
          </m:sup>
        </m:sSup>
      </m:oMath>
      <w:r>
        <w:t xml:space="preserve"> </w:t>
      </w:r>
      <w:r>
        <w:t xml:space="preserve">and the zero-inflation parameter</w:t>
      </w:r>
      <w:r>
        <w:t xml:space="preserve"> </w:t>
      </w:r>
      <m:oMath>
        <m:r>
          <m:t>ξ</m:t>
        </m:r>
      </m:oMath>
      <w:r>
        <w:t xml:space="preserve">.</w:t>
      </w:r>
    </w:p>
    <w:p>
      <w:pPr>
        <w:pStyle w:val="Corpsdetexte"/>
      </w:pPr>
      <w:r>
        <w:rPr>
          <w:b/>
        </w:rPr>
        <w:t xml:space="preserve">Multiple-square simulations</w:t>
      </w:r>
    </w:p>
    <w:p>
      <w:pPr>
        <w:pStyle w:val="Corpsdetexte"/>
      </w:pPr>
      <w:r>
        <w:t xml:space="preserve">In this case, we extend the study to more than one single rectangle, we simulate scientific data and include these in inference. Finally, in addition to the covariate, we also simulate/estimate a spatial random effect in the latent field as a Matérn GRF.</w:t>
      </w:r>
    </w:p>
    <w:p>
      <w:pPr>
        <w:pStyle w:val="Corpsdetexte"/>
      </w:pPr>
      <w:r>
        <w:t xml:space="preserve">The study area is based on the case study; it includes the whole coast of the Bay of Biscay and cover several statistical rectangles (Figure</w:t>
      </w:r>
      <w:r>
        <w:t xml:space="preserve"> </w:t>
      </w:r>
      <w:r>
        <w:t xml:space="preserve">5</w:t>
      </w:r>
      <w:r>
        <w:t xml:space="preserve">A). To tailor the case study, we simulate 3000 of fishing positions regrouped in 300 declarations (10 pings per declaration). Commercial data may not cover the full area, and consequently we allow the commercial samples to cover only 2/3 ot the area. Similarly to the single-square simulations, the sampling of the commercial points of a declaration are realized in 3 steps. (1) The declaration is randomly affected to one of the ICES rectangle. (2) The centroid of the fishing zone is randomly sampled within this statistical rectangle. (3) The 10 fishing locations are randomly sampled within the fishing zone. The radius of the fishing zone is set so as the extent of a fishing operation does not exceed 30 km. Note that we do not explore the effect of exploring several zones within the same declaration as it is already done in the single-square simulations.</w:t>
      </w:r>
    </w:p>
    <w:p>
      <w:pPr>
        <w:pStyle w:val="Corpsdetexte"/>
      </w:pPr>
      <w:r>
        <w:t xml:space="preserve">100 scientific samples are simulated following a random stratified plan; contrarly to commercial data they cover the entire study domain (Figure</w:t>
      </w:r>
      <w:r>
        <w:t xml:space="preserve"> </w:t>
      </w:r>
      <w:r>
        <w:t xml:space="preserve">5</w:t>
      </w:r>
      <w:r>
        <w:t xml:space="preserve">A). Scientific observations are simulated following the observation equations of</w:t>
      </w:r>
      <w:r>
        <w:t xml:space="preserve"> </w:t>
      </w:r>
      <m:oMath>
        <m:sSub>
          <m:e>
            <m:r>
              <m:rPr>
                <m:sty m:val="p"/>
                <m:scr m:val="script"/>
              </m:rPr>
              <m:t>L</m:t>
            </m:r>
          </m:e>
          <m:sub>
            <m:r>
              <m:t>Y</m:t>
            </m:r>
          </m:sub>
        </m:sSub>
      </m:oMath>
      <w:r>
        <w:t xml:space="preserve"> </w:t>
      </w:r>
      <w:r>
        <w:t xml:space="preserve">(with specific parameters for scientific data - Table 1).</w:t>
      </w:r>
    </w:p>
    <w:p>
      <w:pPr>
        <w:pStyle w:val="Corpsdetexte"/>
      </w:pPr>
      <w:r>
        <w:t xml:space="preserve">We compare several model configurations:</w:t>
      </w:r>
    </w:p>
    <w:p>
      <w:pPr>
        <w:numPr>
          <w:numId w:val="1007"/>
          <w:ilvl w:val="0"/>
        </w:numPr>
      </w:pPr>
      <w:r>
        <w:t xml:space="preserve">to assess what brings our alternative approach, we compare the</w:t>
      </w:r>
      <w:r>
        <w:t xml:space="preserve"> </w:t>
      </w:r>
      <m:oMath>
        <m:sSubSup>
          <m:e>
            <m:r>
              <m:t>Y</m:t>
            </m:r>
          </m:e>
          <m:sub>
            <m:r>
              <m:t>i</m:t>
            </m:r>
          </m:sub>
          <m:sup>
            <m:r>
              <m:t>*</m:t>
            </m:r>
          </m:sup>
        </m:sSubSup>
      </m:oMath>
      <w:r>
        <w:t xml:space="preserve"> </w:t>
      </w:r>
      <w:r>
        <w:t xml:space="preserve">model and the</w:t>
      </w:r>
      <w:r>
        <w:t xml:space="preserve"> </w:t>
      </w:r>
      <m:oMath>
        <m:sSub>
          <m:e>
            <m:r>
              <m:t>D</m:t>
            </m:r>
          </m:e>
          <m:sub>
            <m:r>
              <m:t>j</m:t>
            </m:r>
          </m:sub>
        </m:sSub>
      </m:oMath>
      <w:r>
        <w:t xml:space="preserve"> </w:t>
      </w:r>
      <w:r>
        <w:t xml:space="preserve">model.</w:t>
      </w:r>
    </w:p>
    <w:p>
      <w:pPr>
        <w:numPr>
          <w:numId w:val="1007"/>
          <w:ilvl w:val="0"/>
        </w:numPr>
      </w:pPr>
      <w:r>
        <w:t xml:space="preserve">to assess the information brought by each data source, we compare models built on scientific data only (scientific-based models), models built on commercial data only (commercial-based models) and models combining both data sources (integrated models).</w:t>
      </w:r>
    </w:p>
    <w:p>
      <w:pPr>
        <w:pStyle w:val="FirstParagraph"/>
      </w:pPr>
      <w:r>
        <w:t xml:space="preserve">In addition to the 2 metrics introduced at the beginning of the section (</w:t>
      </w:r>
      <m:oMath>
        <m:r>
          <m:t>M</m:t>
        </m:r>
        <m:r>
          <m:t>S</m:t>
        </m:r>
        <m:r>
          <m:t>P</m:t>
        </m:r>
        <m:r>
          <m:t>E</m:t>
        </m:r>
      </m:oMath>
      <w:r>
        <w:t xml:space="preserve"> </w:t>
      </w:r>
      <w:r>
        <w:t xml:space="preserve">and species-habitat parameter</w:t>
      </w:r>
      <w:r>
        <w:t xml:space="preserve"> </w:t>
      </w:r>
      <m:oMath>
        <m:sSub>
          <m:e>
            <m:r>
              <m:t>β</m:t>
            </m:r>
          </m:e>
          <m:sub>
            <m:r>
              <m:t>S</m:t>
            </m:r>
          </m:sub>
        </m:sSub>
      </m:oMath>
      <w:r>
        <w:t xml:space="preserve">), we also compare the simulated/estimated values of the range parameter.</w:t>
      </w:r>
    </w:p>
    <w:p>
      <w:pPr>
        <w:pStyle w:val="Corpsdetexte"/>
      </w:pPr>
      <w:r>
        <w:t xml:space="preserve">Note that when including 2 datasets in the model, a difference in catchability should be accounted for and one of the two dataset will be considered as reference (see</w:t>
      </w:r>
      <w:r>
        <w:t xml:space="preserve"> </w:t>
      </w:r>
      <w:r>
        <w:t xml:space="preserve">Alglave et al. (2022)</w:t>
      </w:r>
      <w:r>
        <w:t xml:space="preserve"> </w:t>
      </w:r>
      <w:r>
        <w:t xml:space="preserve">for more details on parameterization). Here the reference level is set with scientific data and the parameter</w:t>
      </w:r>
      <w:r>
        <w:t xml:space="preserve"> </w:t>
      </w:r>
      <m:oMath>
        <m:sSub>
          <m:e>
            <m:r>
              <m:t>k</m:t>
            </m:r>
          </m:e>
          <m:sub>
            <m:r>
              <m:t>c</m:t>
            </m:r>
            <m:r>
              <m:t>o</m:t>
            </m:r>
            <m:r>
              <m:t>m</m:t>
            </m:r>
          </m:sub>
        </m:sSub>
      </m:oMath>
      <w:r>
        <w:t xml:space="preserve"> </w:t>
      </w:r>
      <w:r>
        <w:t xml:space="preserve">accounts for the relative ratio between scientific and commercial observations. In simulations,</w:t>
      </w:r>
      <w:r>
        <w:t xml:space="preserve"> </w:t>
      </w:r>
      <m:oMath>
        <m:sSub>
          <m:e>
            <m:r>
              <m:t>k</m:t>
            </m:r>
          </m:e>
          <m:sub>
            <m:r>
              <m:t>c</m:t>
            </m:r>
            <m:r>
              <m:t>o</m:t>
            </m:r>
            <m:r>
              <m:t>m</m:t>
            </m:r>
          </m:sub>
        </m:sSub>
      </m:oMath>
      <w:r>
        <w:t xml:space="preserve"> </w:t>
      </w:r>
      <w:r>
        <w:t xml:space="preserve">is set to 1 so that both datasources are assumed to have the same catchability.</w:t>
      </w:r>
    </w:p>
    <w:p>
      <w:pPr>
        <w:pStyle w:val="Titre2"/>
      </w:pPr>
      <w:bookmarkStart w:id="29" w:name="case-study-sole-of-the-bay-of-biscay"/>
      <w:r>
        <w:t xml:space="preserve">Case-study: sole of the Bay of Biscay</w:t>
      </w:r>
      <w:bookmarkEnd w:id="29"/>
    </w:p>
    <w:p>
      <w:pPr>
        <w:pStyle w:val="FirstParagraph"/>
      </w:pPr>
      <w:r>
        <w:t xml:space="preserve">To illustrate our method on a real case study, we applied the approach to the common sole of the Bay of Biscay. VMS-logbooks data were extracted for the bottom trawlers fleet (OTB). The methods to cross VMS-logbooks data and to filter the fleet is already extensively described in the previous papers</w:t>
      </w:r>
      <w:r>
        <w:t xml:space="preserve"> </w:t>
      </w:r>
      <w:r>
        <w:t xml:space="preserve">(Alglave et al., 2022)</w:t>
      </w:r>
      <w:r>
        <w:t xml:space="preserve"> </w:t>
      </w:r>
      <w:r>
        <w:t xml:space="preserve">and is not developped further here. Scientific data were extracted from the DATRAS database for the Orhago beam trawl survey</w:t>
      </w:r>
      <w:r>
        <w:t xml:space="preserve"> </w:t>
      </w:r>
      <w:r>
        <w:t xml:space="preserve">(Gérard, 2003; ICES, 2018b)</w:t>
      </w:r>
      <w:r>
        <w:t xml:space="preserve">. To align the commercial and the scientific data, we filtered scientific data based on the minimum size of sole (24 cm for sole -</w:t>
      </w:r>
      <w:r>
        <w:t xml:space="preserve"> </w:t>
      </w:r>
      <w:r>
        <w:t xml:space="preserve">ICES (2018a)</w:t>
      </w:r>
      <w:r>
        <w:t xml:space="preserve">). To illustrate the method, we compare the outputs of (1) the scientific-based model, (2) the integrated model fitted to scientific data and reallocated commercial data (</w:t>
      </w:r>
      <m:oMath>
        <m:sSubSup>
          <m:e>
            <m:r>
              <m:t>Y</m:t>
            </m:r>
          </m:e>
          <m:sub>
            <m:r>
              <m:t>i</m:t>
            </m:r>
          </m:sub>
          <m:sup>
            <m:r>
              <m:t>*</m:t>
            </m:r>
          </m:sup>
        </m:sSubSup>
      </m:oMath>
      <w:r>
        <w:t xml:space="preserve"> </w:t>
      </w:r>
      <w:r>
        <w:t xml:space="preserve">model) and (3) the integrated model fitted to scientific and declarations data (</w:t>
      </w:r>
      <m:oMath>
        <m:sSub>
          <m:e>
            <m:r>
              <m:t>D</m:t>
            </m:r>
          </m:e>
          <m:sub>
            <m:r>
              <m:t>j</m:t>
            </m:r>
          </m:sub>
        </m:sSub>
      </m:oMath>
      <w:r>
        <w:t xml:space="preserve"> </w:t>
      </w:r>
      <w:r>
        <w:t xml:space="preserve">model).</w:t>
      </w:r>
    </w:p>
    <w:p>
      <w:pPr>
        <w:pStyle w:val="Corpsdetexte"/>
      </w:pPr>
      <w:r>
        <w:t xml:space="preserve">The</w:t>
      </w:r>
      <w:r>
        <w:t xml:space="preserve"> </w:t>
      </w:r>
      <m:oMath>
        <m:sSub>
          <m:e>
            <m:r>
              <m:t>D</m:t>
            </m:r>
          </m:e>
          <m:sub>
            <m:r>
              <m:t>j</m:t>
            </m:r>
          </m:sub>
        </m:sSub>
      </m:oMath>
      <w:r>
        <w:t xml:space="preserve"> </w:t>
      </w:r>
      <w:r>
        <w:t xml:space="preserve">model faced congvergence issues (some of the parameters were hardly estimated e.g. the range parameter). To ease convergence, we integrated in the analysis onboard observer data for the same fleet. They are considered as exact commercial data of catches. Then, integrating these data allow to have direct information on</w:t>
      </w:r>
      <w:r>
        <w:t xml:space="preserve"> </w:t>
      </w:r>
      <m:oMath>
        <m:sSub>
          <m:e>
            <m:r>
              <m:t>Y</m:t>
            </m:r>
          </m:e>
          <m:sub>
            <m:r>
              <m:t>i</m:t>
            </m:r>
          </m:sub>
        </m:sSub>
      </m:oMath>
      <w:r>
        <w:t xml:space="preserve"> </w:t>
      </w:r>
      <w:r>
        <w:t xml:space="preserve">and to better estimate the observation equations parameters (i.e. observation variance and zero-inflation parameter of commercial data).</w:t>
      </w:r>
    </w:p>
    <w:p>
      <w:pPr>
        <w:pStyle w:val="Corpsdetexte"/>
      </w:pPr>
      <w:r>
        <w:t xml:space="preserve">Furthermore, we adopt a step estimation procedure to initialize the optimization algorithm for the</w:t>
      </w:r>
      <w:r>
        <w:t xml:space="preserve"> </w:t>
      </w:r>
      <m:oMath>
        <m:sSub>
          <m:e>
            <m:r>
              <m:t>D</m:t>
            </m:r>
          </m:e>
          <m:sub>
            <m:r>
              <m:t>j</m:t>
            </m:r>
          </m:sub>
        </m:sSub>
      </m:oMath>
      <w:r>
        <w:t xml:space="preserve"> </w:t>
      </w:r>
      <w:r>
        <w:t xml:space="preserve">model. We first fit the</w:t>
      </w:r>
      <w:r>
        <w:t xml:space="preserve"> </w:t>
      </w:r>
      <m:oMath>
        <m:sSubSup>
          <m:e>
            <m:r>
              <m:t>Y</m:t>
            </m:r>
          </m:e>
          <m:sub>
            <m:r>
              <m:t>i</m:t>
            </m:r>
          </m:sub>
          <m:sup>
            <m:r>
              <m:t>*</m:t>
            </m:r>
          </m:sup>
        </m:sSubSup>
      </m:oMath>
      <w:r>
        <w:t xml:space="preserve"> </w:t>
      </w:r>
      <w:r>
        <w:t xml:space="preserve">model and use the estimates of the model to initialize the optimization of the</w:t>
      </w:r>
      <w:r>
        <w:t xml:space="preserve"> </w:t>
      </w:r>
      <m:oMath>
        <m:sSub>
          <m:e>
            <m:r>
              <m:t>D</m:t>
            </m:r>
          </m:e>
          <m:sub>
            <m:r>
              <m:t>j</m:t>
            </m:r>
          </m:sub>
        </m:sSub>
      </m:oMath>
      <w:r>
        <w:t xml:space="preserve"> </w:t>
      </w:r>
      <w:r>
        <w:t xml:space="preserve">model. We eventually fix the parameters that are hard to estimate in first steps of optimization (intercept</w:t>
      </w:r>
      <w:r>
        <w:t xml:space="preserve"> </w:t>
      </w:r>
      <m:oMath>
        <m:r>
          <m:t>μ</m:t>
        </m:r>
      </m:oMath>
      <w:r>
        <w:t xml:space="preserve">, covariate effect</w:t>
      </w:r>
      <w:r>
        <w:t xml:space="preserve"> </w:t>
      </w:r>
      <m:oMath>
        <m:sSub>
          <m:e>
            <m:r>
              <m:t>β</m:t>
            </m:r>
          </m:e>
          <m:sub>
            <m:r>
              <m:t>S</m:t>
            </m:r>
          </m:sub>
        </m:sSub>
      </m:oMath>
      <w:r>
        <w:t xml:space="preserve">, range and marginal variance) and let them free iteratively.</w:t>
      </w:r>
    </w:p>
    <w:p>
      <w:pPr>
        <w:pStyle w:val="Titre1"/>
      </w:pPr>
      <w:bookmarkStart w:id="30" w:name="results"/>
      <w:r>
        <w:t xml:space="preserve">Results</w:t>
      </w:r>
      <w:bookmarkEnd w:id="30"/>
    </w:p>
    <w:p>
      <w:pPr>
        <w:pStyle w:val="Titre2"/>
      </w:pPr>
      <w:bookmarkStart w:id="31" w:name="single-square-simulations"/>
      <w:r>
        <w:t xml:space="preserve">Single-square simulations</w:t>
      </w:r>
      <w:bookmarkEnd w:id="31"/>
    </w:p>
    <w:p>
      <w:pPr>
        <w:pStyle w:val="Compact"/>
      </w:pPr>
      <w:r>
        <w:t xml:space="preserve">Table 2: Single-square simulations - Percentage of convergence per simulation-estimation configuration.</w:t>
      </w:r>
    </w:p>
    <w:p>
      <w:pPr>
        <w:pStyle w:val="Compact"/>
      </w:pPr>
      <w:r>
        <w:t xml:space="preserve">Fishing positions</w:t>
      </w:r>
    </w:p>
    <w:p>
      <w:pPr>
        <w:pStyle w:val="Compact"/>
      </w:pPr>
      <w:r>
        <w:t xml:space="preserve">Declarations</w:t>
      </w:r>
    </w:p>
    <w:p>
      <w:pPr>
        <w:pStyle w:val="Compact"/>
      </w:pPr>
      <w:r>
        <w:t xml:space="preserve">Reallocation</w:t>
      </w:r>
    </w:p>
    <w:p>
      <w:pPr>
        <w:pStyle w:val="Compact"/>
      </w:pPr>
      <w:r>
        <w:t xml:space="preserve">Likelihood level</w:t>
      </w:r>
    </w:p>
    <w:p>
      <w:pPr>
        <w:pStyle w:val="Compact"/>
      </w:pPr>
      <w:r>
        <w:t xml:space="preserve">Convergence (%)</w:t>
      </w:r>
    </w:p>
    <w:p>
      <w:pPr>
        <w:pStyle w:val="Compact"/>
      </w:pPr>
      <w:r>
        <w:t xml:space="preserve">10</w:t>
      </w:r>
    </w:p>
    <w:p>
      <w:pPr>
        <w:pStyle w:val="Compact"/>
      </w:pPr>
      <w:r>
        <w:t xml:space="preserve">1</w:t>
      </w:r>
    </w:p>
    <w:p>
      <w:pPr>
        <w:pStyle w:val="Compact"/>
      </w:pPr>
      <w:r>
        <w:t xml:space="preserve">No</w:t>
      </w:r>
    </w:p>
    <w:p>
      <w:pPr>
        <w:pStyle w:val="Compact"/>
      </w:pPr>
      <w:r>
        <w:t xml:space="preserve">Yi</w:t>
      </w:r>
    </w:p>
    <w:p>
      <w:pPr>
        <w:pStyle w:val="Compact"/>
      </w:pPr>
      <w:r>
        <w:t xml:space="preserve">99.668</w:t>
      </w:r>
    </w:p>
    <w:p>
      <w:pPr>
        <w:pStyle w:val="Compact"/>
      </w:pPr>
      <w:r>
        <w:t xml:space="preserve">10</w:t>
      </w:r>
    </w:p>
    <w:p>
      <w:pPr>
        <w:pStyle w:val="Compact"/>
      </w:pPr>
      <w:r>
        <w:t xml:space="preserve">1</w:t>
      </w:r>
    </w:p>
    <w:p>
      <w:pPr>
        <w:pStyle w:val="Compact"/>
      </w:pPr>
      <w:r>
        <w:t xml:space="preserve">Yes</w:t>
      </w:r>
    </w:p>
    <w:p>
      <w:pPr>
        <w:pStyle w:val="Compact"/>
      </w:pPr>
      <w:r>
        <w:t xml:space="preserve">Yi*</w:t>
      </w:r>
    </w:p>
    <w:p>
      <w:pPr>
        <w:pStyle w:val="Compact"/>
      </w:pPr>
      <w:r>
        <w:t xml:space="preserve">0.333</w:t>
      </w:r>
    </w:p>
    <w:p>
      <w:pPr>
        <w:pStyle w:val="Compact"/>
      </w:pPr>
      <w:r>
        <w:t xml:space="preserve">10</w:t>
      </w:r>
    </w:p>
    <w:p>
      <w:pPr>
        <w:pStyle w:val="Compact"/>
      </w:pPr>
      <w:r>
        <w:t xml:space="preserve">1</w:t>
      </w:r>
    </w:p>
    <w:p>
      <w:pPr>
        <w:pStyle w:val="Compact"/>
      </w:pPr>
      <w:r>
        <w:t xml:space="preserve">Yes</w:t>
      </w:r>
    </w:p>
    <w:p>
      <w:pPr>
        <w:pStyle w:val="Compact"/>
      </w:pPr>
      <w:r>
        <w:t xml:space="preserve">Dj</w:t>
      </w:r>
    </w:p>
    <w:p>
      <w:pPr>
        <w:pStyle w:val="Compact"/>
      </w:pPr>
      <w:r>
        <w:t xml:space="preserve">0.000</w:t>
      </w:r>
    </w:p>
    <w:p>
      <w:pPr>
        <w:pStyle w:val="Compact"/>
      </w:pPr>
      <w:r>
        <w:t xml:space="preserve">100</w:t>
      </w:r>
    </w:p>
    <w:p>
      <w:pPr>
        <w:pStyle w:val="Compact"/>
      </w:pPr>
      <w:r>
        <w:t xml:space="preserve">10</w:t>
      </w:r>
    </w:p>
    <w:p>
      <w:pPr>
        <w:pStyle w:val="Compact"/>
      </w:pPr>
      <w:r>
        <w:t xml:space="preserve">No</w:t>
      </w:r>
    </w:p>
    <w:p>
      <w:pPr>
        <w:pStyle w:val="Compact"/>
      </w:pPr>
      <w:r>
        <w:t xml:space="preserve">Yi</w:t>
      </w:r>
    </w:p>
    <w:p>
      <w:pPr>
        <w:pStyle w:val="Compact"/>
      </w:pPr>
      <w:r>
        <w:t xml:space="preserve">100.000</w:t>
      </w:r>
    </w:p>
    <w:p>
      <w:pPr>
        <w:pStyle w:val="Compact"/>
      </w:pPr>
      <w:r>
        <w:t xml:space="preserve">100</w:t>
      </w:r>
    </w:p>
    <w:p>
      <w:pPr>
        <w:pStyle w:val="Compact"/>
      </w:pPr>
      <w:r>
        <w:t xml:space="preserve">10</w:t>
      </w:r>
    </w:p>
    <w:p>
      <w:pPr>
        <w:pStyle w:val="Compact"/>
      </w:pPr>
      <w:r>
        <w:t xml:space="preserve">Yes</w:t>
      </w:r>
    </w:p>
    <w:p>
      <w:pPr>
        <w:pStyle w:val="Compact"/>
      </w:pPr>
      <w:r>
        <w:t xml:space="preserve">Yi*</w:t>
      </w:r>
    </w:p>
    <w:p>
      <w:pPr>
        <w:pStyle w:val="Compact"/>
      </w:pPr>
      <w:r>
        <w:t xml:space="preserve">100.000</w:t>
      </w:r>
    </w:p>
    <w:p>
      <w:pPr>
        <w:pStyle w:val="Compact"/>
      </w:pPr>
      <w:r>
        <w:t xml:space="preserve">100</w:t>
      </w:r>
    </w:p>
    <w:p>
      <w:pPr>
        <w:pStyle w:val="Compact"/>
      </w:pPr>
      <w:r>
        <w:t xml:space="preserve">10</w:t>
      </w:r>
    </w:p>
    <w:p>
      <w:pPr>
        <w:pStyle w:val="Compact"/>
      </w:pPr>
      <w:r>
        <w:t xml:space="preserve">Yes</w:t>
      </w:r>
    </w:p>
    <w:p>
      <w:pPr>
        <w:pStyle w:val="Compact"/>
      </w:pPr>
      <w:r>
        <w:t xml:space="preserve">Dj</w:t>
      </w:r>
    </w:p>
    <w:p>
      <w:pPr>
        <w:pStyle w:val="Compact"/>
      </w:pPr>
      <w:r>
        <w:t xml:space="preserve">92.000</w:t>
      </w:r>
    </w:p>
    <w:p>
      <w:pPr>
        <w:pStyle w:val="Compact"/>
      </w:pPr>
      <w:r>
        <w:t xml:space="preserve">1000</w:t>
      </w:r>
    </w:p>
    <w:p>
      <w:pPr>
        <w:pStyle w:val="Compact"/>
      </w:pPr>
      <w:r>
        <w:t xml:space="preserve">100</w:t>
      </w:r>
    </w:p>
    <w:p>
      <w:pPr>
        <w:pStyle w:val="Compact"/>
      </w:pPr>
      <w:r>
        <w:t xml:space="preserve">No</w:t>
      </w:r>
    </w:p>
    <w:p>
      <w:pPr>
        <w:pStyle w:val="Compact"/>
      </w:pPr>
      <w:r>
        <w:t xml:space="preserve">Yi</w:t>
      </w:r>
    </w:p>
    <w:p>
      <w:pPr>
        <w:pStyle w:val="Compact"/>
      </w:pPr>
      <w:r>
        <w:t xml:space="preserve">100.000</w:t>
      </w:r>
    </w:p>
    <w:p>
      <w:pPr>
        <w:pStyle w:val="Compact"/>
      </w:pPr>
      <w:r>
        <w:t xml:space="preserve">1000</w:t>
      </w:r>
    </w:p>
    <w:p>
      <w:pPr>
        <w:pStyle w:val="Compact"/>
      </w:pPr>
      <w:r>
        <w:t xml:space="preserve">100</w:t>
      </w:r>
    </w:p>
    <w:p>
      <w:pPr>
        <w:pStyle w:val="Compact"/>
      </w:pPr>
      <w:r>
        <w:t xml:space="preserve">Yes</w:t>
      </w:r>
    </w:p>
    <w:p>
      <w:pPr>
        <w:pStyle w:val="Compact"/>
      </w:pPr>
      <w:r>
        <w:t xml:space="preserve">Yi*</w:t>
      </w:r>
    </w:p>
    <w:p>
      <w:pPr>
        <w:pStyle w:val="Compact"/>
      </w:pPr>
      <w:r>
        <w:t xml:space="preserve">100.000</w:t>
      </w:r>
    </w:p>
    <w:p>
      <w:pPr>
        <w:pStyle w:val="Compact"/>
      </w:pPr>
      <w:r>
        <w:t xml:space="preserve">1000</w:t>
      </w:r>
    </w:p>
    <w:p>
      <w:pPr>
        <w:pStyle w:val="Compact"/>
      </w:pPr>
      <w:r>
        <w:t xml:space="preserve">100</w:t>
      </w:r>
    </w:p>
    <w:p>
      <w:pPr>
        <w:pStyle w:val="Compact"/>
      </w:pPr>
      <w:r>
        <w:t xml:space="preserve">Yes</w:t>
      </w:r>
    </w:p>
    <w:p>
      <w:pPr>
        <w:pStyle w:val="Compact"/>
      </w:pPr>
      <w:r>
        <w:t xml:space="preserve">Dj</w:t>
      </w:r>
    </w:p>
    <w:p>
      <w:pPr>
        <w:pStyle w:val="Compact"/>
      </w:pPr>
      <w:r>
        <w:t xml:space="preserve">97.333</w:t>
      </w:r>
    </w:p>
    <w:p>
      <w:pPr>
        <w:pStyle w:val="CaptionedFigure"/>
      </w:pPr>
      <w:r>
        <w:drawing>
          <wp:inline>
            <wp:extent cx="5734113" cy="7452818"/>
            <wp:effectExtent b="0" l="0" r="0" t="0"/>
            <wp:docPr descr="Figure 2.   Performance metric for single-square simulations. Columns: number of commercial fishing positions. x-axis: number of zones visited within each declaration. ‘Reallocation:’, data are or are not reallocated in simulations. ‘Likelihood:’, the likelihood is computed on exact punctual observations Y_i, on reallocated observations Y_i^* or on catch declarations D_j. Gold: golden standard. Red: uniform reallocation (Y_i^* model). Green: model-based reallocation (D_j model). Simulations conducted on 10 fishing positions are not represented as they mostly did not converged for the D_j model (see Table 2)." title="" id="1" name="Picture"/>
            <a:graphic>
              <a:graphicData uri="http://schemas.openxmlformats.org/drawingml/2006/picture">
                <pic:pic>
                  <pic:nvPicPr>
                    <pic:cNvPr descr="images/Perf.metric_single_square.png" id="0" name="Picture"/>
                    <pic:cNvPicPr>
                      <a:picLocks noChangeArrowheads="1" noChangeAspect="1"/>
                    </pic:cNvPicPr>
                  </pic:nvPicPr>
                  <pic:blipFill>
                    <a:blip r:embed="rId32"/>
                    <a:stretch>
                      <a:fillRect/>
                    </a:stretch>
                  </pic:blipFill>
                  <pic:spPr bwMode="auto">
                    <a:xfrm>
                      <a:off x="0" y="0"/>
                      <a:ext cx="5734113" cy="745281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Performance metric for single-square simulations. Columns: number of commercial fishing positions. x-axis: number of zones visited within each declaration.</w:t>
      </w:r>
      <w:r>
        <w:t xml:space="preserve"> </w:t>
      </w:r>
      <w:r>
        <w:t xml:space="preserve">‘</w:t>
      </w:r>
      <w:r>
        <w:t xml:space="preserve">Reallocation:</w:t>
      </w:r>
      <w:r>
        <w:t xml:space="preserve">’</w:t>
      </w:r>
      <w:r>
        <w:t xml:space="preserve">, data are or are not reallocated in simulations.</w:t>
      </w:r>
      <w:r>
        <w:t xml:space="preserve"> </w:t>
      </w:r>
      <w:r>
        <w:t xml:space="preserve">‘</w:t>
      </w:r>
      <w:r>
        <w:t xml:space="preserve">Likelihood:</w:t>
      </w:r>
      <w:r>
        <w:t xml:space="preserve">’</w:t>
      </w:r>
      <w:r>
        <w:t xml:space="preserve">, the likelihood is computed on exact punctual observations</w:t>
      </w:r>
      <w:r>
        <w:t xml:space="preserve"> </w:t>
      </w:r>
      <m:oMath>
        <m:sSub>
          <m:e>
            <m:r>
              <m:t>Y</m:t>
            </m:r>
          </m:e>
          <m:sub>
            <m:r>
              <m:t>i</m:t>
            </m:r>
          </m:sub>
        </m:sSub>
      </m:oMath>
      <w:r>
        <w:t xml:space="preserve">, on reallocated observations</w:t>
      </w:r>
      <w:r>
        <w:t xml:space="preserve"> </w:t>
      </w:r>
      <m:oMath>
        <m:sSubSup>
          <m:e>
            <m:r>
              <m:t>Y</m:t>
            </m:r>
          </m:e>
          <m:sub>
            <m:r>
              <m:t>i</m:t>
            </m:r>
          </m:sub>
          <m:sup>
            <m:r>
              <m:t>*</m:t>
            </m:r>
          </m:sup>
        </m:sSubSup>
      </m:oMath>
      <w:r>
        <w:t xml:space="preserve"> </w:t>
      </w:r>
      <w:r>
        <w:t xml:space="preserve">or on catch declarations</w:t>
      </w:r>
      <w:r>
        <w:t xml:space="preserve"> </w:t>
      </w:r>
      <m:oMath>
        <m:sSub>
          <m:e>
            <m:r>
              <m:t>D</m:t>
            </m:r>
          </m:e>
          <m:sub>
            <m:r>
              <m:t>j</m:t>
            </m:r>
          </m:sub>
        </m:sSub>
      </m:oMath>
      <w:r>
        <w:t xml:space="preserve">. Gold: golden standard. Red: uniform reallocation (</w:t>
      </w:r>
      <m:oMath>
        <m:sSubSup>
          <m:e>
            <m:r>
              <m:t>Y</m:t>
            </m:r>
          </m:e>
          <m:sub>
            <m:r>
              <m:t>i</m:t>
            </m:r>
          </m:sub>
          <m:sup>
            <m:r>
              <m:t>*</m:t>
            </m:r>
          </m:sup>
        </m:sSubSup>
      </m:oMath>
      <w:r>
        <w:t xml:space="preserve"> </w:t>
      </w:r>
      <w:r>
        <w:t xml:space="preserve">model). Green: model-based reallocation (</w:t>
      </w:r>
      <m:oMath>
        <m:sSub>
          <m:e>
            <m:r>
              <m:t>D</m:t>
            </m:r>
          </m:e>
          <m:sub>
            <m:r>
              <m:t>j</m:t>
            </m:r>
          </m:sub>
        </m:sSub>
      </m:oMath>
      <w:r>
        <w:t xml:space="preserve"> </w:t>
      </w:r>
      <w:r>
        <w:t xml:space="preserve">model). Simulations conducted on 10 fishing positions are not represented as they mostly did not converged for the</w:t>
      </w:r>
      <w:r>
        <w:t xml:space="preserve"> </w:t>
      </w:r>
      <m:oMath>
        <m:sSub>
          <m:e>
            <m:r>
              <m:t>D</m:t>
            </m:r>
          </m:e>
          <m:sub>
            <m:r>
              <m:t>j</m:t>
            </m:r>
          </m:sub>
        </m:sSub>
      </m:oMath>
      <w:r>
        <w:t xml:space="preserve"> </w:t>
      </w:r>
      <w:r>
        <w:t xml:space="preserve">model (see Table 2).</w:t>
      </w:r>
    </w:p>
    <w:p>
      <w:pPr>
        <w:pStyle w:val="Corpsdetexte"/>
      </w:pPr>
      <w:r>
        <w:t xml:space="preserve">Reallocation has a major effect on predictions and estimates accuracy (Figure</w:t>
      </w:r>
      <w:r>
        <w:t xml:space="preserve"> </w:t>
      </w:r>
      <w:r>
        <w:t xml:space="preserve">2</w:t>
      </w:r>
      <w:r>
        <w:t xml:space="preserve">). Reallocating data conduct to a 10 to 200 times decrease in accuracy for spatial predictions when fitting the model to reallocated catch (MSPE gold compared to red boxplots). Accuracy decreases as the number of visited zones within a declaration increases. Besides,</w:t>
      </w:r>
      <w:r>
        <w:t xml:space="preserve"> </w:t>
      </w:r>
      <m:oMath>
        <m:sSub>
          <m:e>
            <m:r>
              <m:t>β</m:t>
            </m:r>
          </m:e>
          <m:sub>
            <m:r>
              <m:t>S</m:t>
            </m:r>
          </m:sub>
        </m:sSub>
      </m:oMath>
      <w:r>
        <w:t xml:space="preserve"> </w:t>
      </w:r>
      <w:r>
        <w:t xml:space="preserve">estimates are biased and reallocation leads to the loss of the species-habitat relationship as the number of fishing zones (within a declaration) increases (</w:t>
      </w:r>
      <m:oMath>
        <m:sSub>
          <m:e>
            <m:r>
              <m:t>β</m:t>
            </m:r>
          </m:e>
          <m:sub>
            <m:r>
              <m:t>S</m:t>
            </m:r>
          </m:sub>
        </m:sSub>
      </m:oMath>
      <w:r>
        <w:t xml:space="preserve"> </w:t>
      </w:r>
      <w:r>
        <w:t xml:space="preserve">estimates get closer to 0). Increasing the number of samples does not improve inference. Regarding other parameters estimates, the zero-inflation parameter (</w:t>
      </w:r>
      <m:oMath>
        <m:r>
          <m:t>ξ</m:t>
        </m:r>
      </m:oMath>
      <w:r>
        <w:t xml:space="preserve">) is over-estimated (i.e. when uniformly reallocating commercial data, the quantity of positive observations is under-estimated), the observation variance (</w:t>
      </w:r>
      <m:oMath>
        <m:r>
          <m:t>σ</m:t>
        </m:r>
      </m:oMath>
      <w:r>
        <w:t xml:space="preserve">) is underestimated (i.e. the data is estimated to be less noisy than they actually are) and the intercept of the latent field (</w:t>
      </w:r>
      <m:oMath>
        <m:r>
          <m:t>μ</m:t>
        </m:r>
      </m:oMath>
      <w:r>
        <w:t xml:space="preserve">) is slightly over-estimated (Figure</w:t>
      </w:r>
      <w:r>
        <w:t xml:space="preserve"> </w:t>
      </w:r>
      <w:r>
        <w:t xml:space="preserve">3</w:t>
      </w:r>
      <w:r>
        <w:t xml:space="preserve">).</w:t>
      </w:r>
    </w:p>
    <w:p>
      <w:pPr>
        <w:pStyle w:val="Corpsdetexte"/>
      </w:pPr>
      <w:r>
        <w:t xml:space="preserve">The</w:t>
      </w:r>
      <w:r>
        <w:t xml:space="preserve"> </w:t>
      </w:r>
      <m:oMath>
        <m:sSub>
          <m:e>
            <m:r>
              <m:t>D</m:t>
            </m:r>
          </m:e>
          <m:sub>
            <m:r>
              <m:t>j</m:t>
            </m:r>
          </m:sub>
        </m:sSub>
      </m:oMath>
      <w:r>
        <w:t xml:space="preserve"> </w:t>
      </w:r>
      <w:r>
        <w:t xml:space="preserve">model allows to recover the species-habitat relationship and to improve the accuracy of the spatial predictions (Figure</w:t>
      </w:r>
      <w:r>
        <w:t xml:space="preserve"> </w:t>
      </w:r>
      <w:r>
        <w:t xml:space="preserve">2</w:t>
      </w:r>
      <w:r>
        <w:t xml:space="preserve">). Still, the</w:t>
      </w:r>
      <w:r>
        <w:t xml:space="preserve"> </w:t>
      </w:r>
      <m:oMath>
        <m:sSub>
          <m:e>
            <m:r>
              <m:t>D</m:t>
            </m:r>
          </m:e>
          <m:sub>
            <m:r>
              <m:t>j</m:t>
            </m:r>
          </m:sub>
        </m:sSub>
      </m:oMath>
      <w:r>
        <w:t xml:space="preserve"> </w:t>
      </w:r>
      <w:r>
        <w:t xml:space="preserve">model outputs are not as accurate as the ones of the golden-standard. Furthermore, the zero-inflation parameter is unbiased when the model is fitted to catch declarations</w:t>
      </w:r>
      <w:r>
        <w:t xml:space="preserve"> </w:t>
      </w:r>
      <m:oMath>
        <m:sSub>
          <m:e>
            <m:r>
              <m:t>D</m:t>
            </m:r>
          </m:e>
          <m:sub>
            <m:r>
              <m:t>j</m:t>
            </m:r>
          </m:sub>
        </m:sSub>
      </m:oMath>
      <w:r>
        <w:t xml:space="preserve">. Other parameters (observation variance, intercept) are also better estimated even though they remain slightly biased (Figure</w:t>
      </w:r>
      <w:r>
        <w:t xml:space="preserve"> </w:t>
      </w:r>
      <w:r>
        <w:t xml:space="preserve">3</w:t>
      </w:r>
      <w:r>
        <w:t xml:space="preserve">). This alternative model have some convergence difficulties (Table 2) as 8% of the model did not converged when sample size is medium (100 pings) and only 3% did not when sample size is large (1000 pings).</w:t>
      </w:r>
    </w:p>
    <w:p>
      <w:pPr>
        <w:pStyle w:val="CaptionedFigure"/>
      </w:pPr>
      <w:r>
        <w:drawing>
          <wp:inline>
            <wp:extent cx="5969000" cy="2273904"/>
            <wp:effectExtent b="0" l="0" r="0" t="0"/>
            <wp:docPr descr="Figure 3.   Parameters relative bias for single-square simulations. ‘Reallocation:’, data are or are not reallocated in simulations. ‘Likelihood:’, the likelihood is computed on exact punctual observations Y_i, on reallocated observations Y_i^* or on catch declarations D_j. Gold: golden standard. Red: uniform reallocation (Y_i^* model). Green: model-based reallocation (D_j model). Only the simulations with 1000 fishing positionss are represented. Black line: zero value. Red line: parameter true value." title="" id="1" name="Picture"/>
            <a:graphic>
              <a:graphicData uri="http://schemas.openxmlformats.org/drawingml/2006/picture">
                <pic:pic>
                  <pic:nvPicPr>
                    <pic:cNvPr descr="images/par_plot_single_square.png" id="0" name="Picture"/>
                    <pic:cNvPicPr>
                      <a:picLocks noChangeArrowheads="1" noChangeAspect="1"/>
                    </pic:cNvPicPr>
                  </pic:nvPicPr>
                  <pic:blipFill>
                    <a:blip r:embed="rId33"/>
                    <a:stretch>
                      <a:fillRect/>
                    </a:stretch>
                  </pic:blipFill>
                  <pic:spPr bwMode="auto">
                    <a:xfrm>
                      <a:off x="0" y="0"/>
                      <a:ext cx="5969000" cy="227390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Parameters relative bias for single-square simulations.</w:t>
      </w:r>
      <w:r>
        <w:t xml:space="preserve"> </w:t>
      </w:r>
      <w:r>
        <w:t xml:space="preserve">‘</w:t>
      </w:r>
      <w:r>
        <w:t xml:space="preserve">Reallocation:</w:t>
      </w:r>
      <w:r>
        <w:t xml:space="preserve">’</w:t>
      </w:r>
      <w:r>
        <w:t xml:space="preserve">, data are or are not reallocated in simulations.</w:t>
      </w:r>
      <w:r>
        <w:t xml:space="preserve"> </w:t>
      </w:r>
      <w:r>
        <w:t xml:space="preserve">‘</w:t>
      </w:r>
      <w:r>
        <w:t xml:space="preserve">Likelihood:</w:t>
      </w:r>
      <w:r>
        <w:t xml:space="preserve">’</w:t>
      </w:r>
      <w:r>
        <w:t xml:space="preserve">, the likelihood is computed on exact punctual observations</w:t>
      </w:r>
      <w:r>
        <w:t xml:space="preserve"> </w:t>
      </w:r>
      <m:oMath>
        <m:sSub>
          <m:e>
            <m:r>
              <m:t>Y</m:t>
            </m:r>
          </m:e>
          <m:sub>
            <m:r>
              <m:t>i</m:t>
            </m:r>
          </m:sub>
        </m:sSub>
      </m:oMath>
      <w:r>
        <w:t xml:space="preserve">, on reallocated observations</w:t>
      </w:r>
      <w:r>
        <w:t xml:space="preserve"> </w:t>
      </w:r>
      <m:oMath>
        <m:sSubSup>
          <m:e>
            <m:r>
              <m:t>Y</m:t>
            </m:r>
          </m:e>
          <m:sub>
            <m:r>
              <m:t>i</m:t>
            </m:r>
          </m:sub>
          <m:sup>
            <m:r>
              <m:t>*</m:t>
            </m:r>
          </m:sup>
        </m:sSubSup>
      </m:oMath>
      <w:r>
        <w:t xml:space="preserve"> </w:t>
      </w:r>
      <w:r>
        <w:t xml:space="preserve">or on catch declarations</w:t>
      </w:r>
      <w:r>
        <w:t xml:space="preserve"> </w:t>
      </w:r>
      <m:oMath>
        <m:sSub>
          <m:e>
            <m:r>
              <m:t>D</m:t>
            </m:r>
          </m:e>
          <m:sub>
            <m:r>
              <m:t>j</m:t>
            </m:r>
          </m:sub>
        </m:sSub>
      </m:oMath>
      <w:r>
        <w:t xml:space="preserve">. Gold: golden standard. Red: uniform reallocation (</w:t>
      </w:r>
      <m:oMath>
        <m:sSubSup>
          <m:e>
            <m:r>
              <m:t>Y</m:t>
            </m:r>
          </m:e>
          <m:sub>
            <m:r>
              <m:t>i</m:t>
            </m:r>
          </m:sub>
          <m:sup>
            <m:r>
              <m:t>*</m:t>
            </m:r>
          </m:sup>
        </m:sSubSup>
      </m:oMath>
      <w:r>
        <w:t xml:space="preserve"> </w:t>
      </w:r>
      <w:r>
        <w:t xml:space="preserve">model). Green: model-based reallocation (</w:t>
      </w:r>
      <m:oMath>
        <m:sSub>
          <m:e>
            <m:r>
              <m:t>D</m:t>
            </m:r>
          </m:e>
          <m:sub>
            <m:r>
              <m:t>j</m:t>
            </m:r>
          </m:sub>
        </m:sSub>
      </m:oMath>
      <w:r>
        <w:t xml:space="preserve"> </w:t>
      </w:r>
      <w:r>
        <w:t xml:space="preserve">model). Only the simulations with 1000 fishing positionss are represented. Black line: zero value. Red line: parameter true value.</w:t>
      </w:r>
    </w:p>
    <w:p>
      <w:pPr>
        <w:pStyle w:val="Titre2"/>
      </w:pPr>
      <w:bookmarkStart w:id="34" w:name="multiple-square-simulations"/>
      <w:r>
        <w:t xml:space="preserve">Multiple-square simulations</w:t>
      </w:r>
      <w:bookmarkEnd w:id="34"/>
    </w:p>
    <w:p>
      <w:pPr>
        <w:pStyle w:val="Compact"/>
      </w:pPr>
      <w:r>
        <w:t xml:space="preserve">Table 3: Multiple-square simulations - Percentage of convergence per simulation-estimation configuration.</w:t>
      </w:r>
    </w:p>
    <w:p>
      <w:pPr>
        <w:pStyle w:val="Compact"/>
      </w:pPr>
      <w:r>
        <w:t xml:space="preserve">Model</w:t>
      </w:r>
    </w:p>
    <w:p>
      <w:pPr>
        <w:pStyle w:val="Compact"/>
      </w:pPr>
      <w:r>
        <w:t xml:space="preserve">Likelihood level</w:t>
      </w:r>
    </w:p>
    <w:p>
      <w:pPr>
        <w:pStyle w:val="Compact"/>
      </w:pPr>
      <w:r>
        <w:t xml:space="preserve">Convergence (%)</w:t>
      </w:r>
    </w:p>
    <w:p>
      <w:pPr>
        <w:pStyle w:val="Compact"/>
      </w:pPr>
      <w:r>
        <w:t xml:space="preserve">Commercial model</w:t>
      </w:r>
    </w:p>
    <w:p>
      <w:pPr>
        <w:pStyle w:val="Compact"/>
      </w:pPr>
      <w:r>
        <w:t xml:space="preserve">Yi*</w:t>
      </w:r>
    </w:p>
    <w:p>
      <w:pPr>
        <w:pStyle w:val="Compact"/>
      </w:pPr>
      <w:r>
        <w:t xml:space="preserve">100.000</w:t>
      </w:r>
    </w:p>
    <w:p>
      <w:pPr>
        <w:pStyle w:val="Compact"/>
      </w:pPr>
      <w:r>
        <w:t xml:space="preserve">Commercial model</w:t>
      </w:r>
    </w:p>
    <w:p>
      <w:pPr>
        <w:pStyle w:val="Compact"/>
      </w:pPr>
      <w:r>
        <w:t xml:space="preserve">Dj</w:t>
      </w:r>
    </w:p>
    <w:p>
      <w:pPr>
        <w:pStyle w:val="Compact"/>
      </w:pPr>
      <w:r>
        <w:t xml:space="preserve">75.377</w:t>
      </w:r>
    </w:p>
    <w:p>
      <w:pPr>
        <w:pStyle w:val="Compact"/>
      </w:pPr>
      <w:r>
        <w:t xml:space="preserve">Integrated model</w:t>
      </w:r>
    </w:p>
    <w:p>
      <w:pPr>
        <w:pStyle w:val="Compact"/>
      </w:pPr>
      <w:r>
        <w:t xml:space="preserve">Yi*</w:t>
      </w:r>
    </w:p>
    <w:p>
      <w:pPr>
        <w:pStyle w:val="Compact"/>
      </w:pPr>
      <w:r>
        <w:t xml:space="preserve">100.000</w:t>
      </w:r>
    </w:p>
    <w:p>
      <w:pPr>
        <w:pStyle w:val="Compact"/>
      </w:pPr>
      <w:r>
        <w:t xml:space="preserve">Integrated model</w:t>
      </w:r>
    </w:p>
    <w:p>
      <w:pPr>
        <w:pStyle w:val="Compact"/>
      </w:pPr>
      <w:r>
        <w:t xml:space="preserve">Dj</w:t>
      </w:r>
    </w:p>
    <w:p>
      <w:pPr>
        <w:pStyle w:val="Compact"/>
      </w:pPr>
      <w:r>
        <w:t xml:space="preserve">76.382</w:t>
      </w:r>
    </w:p>
    <w:p>
      <w:pPr>
        <w:pStyle w:val="Compact"/>
      </w:pPr>
      <w:r>
        <w:t xml:space="preserve">Scientific model</w:t>
      </w:r>
    </w:p>
    <w:p>
      <w:pPr>
        <w:pStyle w:val="Compact"/>
      </w:pPr>
      <w:r>
        <w:t xml:space="preserve">100.000</w:t>
      </w:r>
    </w:p>
    <w:p>
      <w:pPr>
        <w:pStyle w:val="SourceCode"/>
      </w:pPr>
      <w:r>
        <w:rPr>
          <w:rStyle w:val="VerbatimChar"/>
        </w:rPr>
        <w:t xml:space="preserve">## Warning: Removed 7 rows containing non-finite values (stat_boxplot).</w:t>
      </w:r>
    </w:p>
    <w:p>
      <w:pPr>
        <w:pStyle w:val="FirstParagraph"/>
      </w:pPr>
      <w:r>
        <w:t xml:space="preserve">Whether the model is fitted at the punctual level or at the declaration level, the contribution of either scientific or commercial data can be clearly evidenced from the MSPE plot: the errors related to the integrated model are smaller than the single-data models. This can be well evidenced when looking at Figure</w:t>
      </w:r>
      <w:r>
        <w:t xml:space="preserve"> </w:t>
      </w:r>
      <w:r>
        <w:t xml:space="preserve">5</w:t>
      </w:r>
      <w:r>
        <w:t xml:space="preserve">. Integrating scientific and commercial data allows to (1) capture the hotspot missed by commercial data through scientific data and (2) better capture the local correlation structures through the dense commercial data.</w:t>
      </w:r>
    </w:p>
    <w:p>
      <w:pPr>
        <w:pStyle w:val="Corpsdetexte"/>
      </w:pPr>
      <w:r>
        <w:t xml:space="preserve">Furthermore, consistently with single-square simulations, uniform reallocation conducts to a loss in both the predictions accuracy and the species-habitat relationship (Figure</w:t>
      </w:r>
      <w:r>
        <w:t xml:space="preserve"> </w:t>
      </w:r>
      <w:r>
        <w:t xml:space="preserve">4</w:t>
      </w:r>
      <w:r>
        <w:t xml:space="preserve">) compared to the model built on commercial declarations (</w:t>
      </w:r>
      <m:oMath>
        <m:sSub>
          <m:e>
            <m:r>
              <m:t>D</m:t>
            </m:r>
          </m:e>
          <m:sub>
            <m:r>
              <m:t>j</m:t>
            </m:r>
          </m:sub>
        </m:sSub>
      </m:oMath>
      <w:r>
        <w:t xml:space="preserve">).</w:t>
      </w:r>
    </w:p>
    <w:p>
      <w:pPr>
        <w:pStyle w:val="Corpsdetexte"/>
      </w:pPr>
      <w:r>
        <w:t xml:space="preserve">Interestingly, uniform reallocation does not affect only the species-habitat relationship but also the spatial autocorrelation terms such as the range parameter. The model fitted on reallocated data (</w:t>
      </w:r>
      <m:oMath>
        <m:sSubSup>
          <m:e>
            <m:r>
              <m:t>Y</m:t>
            </m:r>
          </m:e>
          <m:sub>
            <m:r>
              <m:t>i</m:t>
            </m:r>
          </m:sub>
          <m:sup>
            <m:r>
              <m:t>*</m:t>
            </m:r>
          </m:sup>
        </m:sSubSup>
      </m:oMath>
      <w:r>
        <w:t xml:space="preserve">) provides biased range estimates while the</w:t>
      </w:r>
      <w:r>
        <w:t xml:space="preserve"> </w:t>
      </w:r>
      <m:oMath>
        <m:sSub>
          <m:e>
            <m:r>
              <m:t>D</m:t>
            </m:r>
          </m:e>
          <m:sub>
            <m:r>
              <m:t>j</m:t>
            </m:r>
          </m:sub>
        </m:sSub>
      </m:oMath>
      <w:r>
        <w:t xml:space="preserve"> </w:t>
      </w:r>
      <w:r>
        <w:t xml:space="preserve">model provides unbiased estimates. This is a consequence of the loss of the species-habitat relationship: when uniformly reallocating declarations, part of the variability related to the covariate effect is captured by the random effect. Consequently, the range parameter captures both the autocorrelation related to the actual random effect and to the covariate. The</w:t>
      </w:r>
      <w:r>
        <w:t xml:space="preserve"> </w:t>
      </w:r>
      <m:oMath>
        <m:sSub>
          <m:e>
            <m:r>
              <m:t>D</m:t>
            </m:r>
          </m:e>
          <m:sub>
            <m:r>
              <m:t>j</m:t>
            </m:r>
          </m:sub>
        </m:sSub>
      </m:oMath>
      <w:r>
        <w:t xml:space="preserve"> </w:t>
      </w:r>
      <w:r>
        <w:t xml:space="preserve">model allows to recover and disentangle the effect of the species-habitat relationship and of the random effect. This is evidenced in Figure</w:t>
      </w:r>
      <w:r>
        <w:t xml:space="preserve"> </w:t>
      </w:r>
      <w:r>
        <w:t xml:space="preserve">5</w:t>
      </w:r>
      <w:r>
        <w:t xml:space="preserve"> </w:t>
      </w:r>
      <w:r>
        <w:t xml:space="preserve">where the model fitted to reallocated catch</w:t>
      </w:r>
      <w:r>
        <w:t xml:space="preserve"> </w:t>
      </w:r>
      <m:oMath>
        <m:sSubSup>
          <m:e>
            <m:r>
              <m:t>Y</m:t>
            </m:r>
          </m:e>
          <m:sub>
            <m:r>
              <m:t>i</m:t>
            </m:r>
          </m:sub>
          <m:sup>
            <m:r>
              <m:t>*</m:t>
            </m:r>
          </m:sup>
        </m:sSubSup>
      </m:oMath>
      <w:r>
        <w:t xml:space="preserve"> </w:t>
      </w:r>
      <w:r>
        <w:t xml:space="preserve">provides smoothed maps and does not captures the relatively small scale patterns that are shaped by the covariate. On the other hand the</w:t>
      </w:r>
      <w:r>
        <w:t xml:space="preserve"> </w:t>
      </w:r>
      <m:oMath>
        <m:sSub>
          <m:e>
            <m:r>
              <m:t>D</m:t>
            </m:r>
          </m:e>
          <m:sub>
            <m:r>
              <m:t>j</m:t>
            </m:r>
          </m:sub>
        </m:sSub>
      </m:oMath>
      <w:r>
        <w:t xml:space="preserve"> </w:t>
      </w:r>
      <w:r>
        <w:t xml:space="preserve">model (as the scientific-based model) better capture and disentangle the covariate effect and the spatial random effect and then provides predictions that better fit to the small-scale patterns of the species distribution. However, this goes with some difficulty in convergence as only 75% of the model built on catch declarations converge (Table 3).</w:t>
      </w:r>
    </w:p>
    <w:p>
      <w:pPr>
        <w:pStyle w:val="CaptionedFigure"/>
      </w:pPr>
      <w:r>
        <w:drawing>
          <wp:inline>
            <wp:extent cx="5969000" cy="1989666"/>
            <wp:effectExtent b="0" l="0" r="0" t="0"/>
            <wp:docPr descr="Figure 4.   Performance metric for the multiple-square simulations. Red line: true value for the range and the species-habitat parameter (\beta_S). Red: uniform reallocation (Y_i^* model). Green: model-based reallocation (D_j model). Blue: scientific-based model." title="" id="1" name="Picture"/>
            <a:graphic>
              <a:graphicData uri="http://schemas.openxmlformats.org/drawingml/2006/picture">
                <pic:pic>
                  <pic:nvPicPr>
                    <pic:cNvPr descr="images/Perf.metric_multiple_square.png" id="0" name="Picture"/>
                    <pic:cNvPicPr>
                      <a:picLocks noChangeArrowheads="1" noChangeAspect="1"/>
                    </pic:cNvPicPr>
                  </pic:nvPicPr>
                  <pic:blipFill>
                    <a:blip r:embed="rId35"/>
                    <a:stretch>
                      <a:fillRect/>
                    </a:stretch>
                  </pic:blipFill>
                  <pic:spPr bwMode="auto">
                    <a:xfrm>
                      <a:off x="0" y="0"/>
                      <a:ext cx="5969000" cy="198966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Performance metric for the multiple-square simulations. Red line: true value for the range and the species-habitat parameter (</w:t>
      </w:r>
      <m:oMath>
        <m:sSub>
          <m:e>
            <m:r>
              <m:t>β</m:t>
            </m:r>
          </m:e>
          <m:sub>
            <m:r>
              <m:t>S</m:t>
            </m:r>
          </m:sub>
        </m:sSub>
      </m:oMath>
      <w:r>
        <w:t xml:space="preserve">). Red: uniform reallocation (</w:t>
      </w:r>
      <m:oMath>
        <m:sSubSup>
          <m:e>
            <m:r>
              <m:t>Y</m:t>
            </m:r>
          </m:e>
          <m:sub>
            <m:r>
              <m:t>i</m:t>
            </m:r>
          </m:sub>
          <m:sup>
            <m:r>
              <m:t>*</m:t>
            </m:r>
          </m:sup>
        </m:sSubSup>
      </m:oMath>
      <w:r>
        <w:t xml:space="preserve"> </w:t>
      </w:r>
      <w:r>
        <w:t xml:space="preserve">model). Green: model-based reallocation (</w:t>
      </w:r>
      <m:oMath>
        <m:sSub>
          <m:e>
            <m:r>
              <m:t>D</m:t>
            </m:r>
          </m:e>
          <m:sub>
            <m:r>
              <m:t>j</m:t>
            </m:r>
          </m:sub>
        </m:sSub>
      </m:oMath>
      <w:r>
        <w:t xml:space="preserve"> </w:t>
      </w:r>
      <w:r>
        <w:t xml:space="preserve">model). Blue: scientific-based model.</w:t>
      </w:r>
    </w:p>
    <w:p>
      <w:pPr>
        <w:pStyle w:val="CaptionedFigure"/>
      </w:pPr>
      <w:r>
        <w:drawing>
          <wp:inline>
            <wp:extent cx="5969000" cy="5969000"/>
            <wp:effectExtent b="0" l="0" r="0" t="0"/>
            <wp:docPr descr="Figure 5.   Relative distribution of simulated/estimated biomass field. A: Simulated biomass field with scientific samples (red) and statistical rectangles. The rectangles that have not been sampled by commercial data are the transparent rectangles. They represent 1/3 of the full area. B: simulated biomass field. C: biomass field from the scientific-based model. Y_i^*: Y_i^* model (D, E). D_j: D_j model (F, G). Scientific model: model fitted to scientific data only. Commercial model: model fitted to commercial data only. Integratedd model: model fitted to both data sources." title="" id="1" name="Picture"/>
            <a:graphic>
              <a:graphicData uri="http://schemas.openxmlformats.org/drawingml/2006/picture">
                <pic:pic>
                  <pic:nvPicPr>
                    <pic:cNvPr descr="images/Map_multi_square.png" id="0" name="Picture"/>
                    <pic:cNvPicPr>
                      <a:picLocks noChangeArrowheads="1" noChangeAspect="1"/>
                    </pic:cNvPicPr>
                  </pic:nvPicPr>
                  <pic:blipFill>
                    <a:blip r:embed="rId36"/>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Relative distribution of simulated/estimated biomass field. A: Simulated biomass field with scientific samples (red) and statistical rectangles. The rectangles that have not been sampled by commercial data are the transparent rectangles. They represent 1/3 of the full area. B: simulated biomass field. C: biomass field from the scientific-based model.</w:t>
      </w:r>
      <w:r>
        <w:t xml:space="preserve"> </w:t>
      </w:r>
      <m:oMath>
        <m:sSubSup>
          <m:e>
            <m:r>
              <m:t>Y</m:t>
            </m:r>
          </m:e>
          <m:sub>
            <m:r>
              <m:t>i</m:t>
            </m:r>
          </m:sub>
          <m:sup>
            <m:r>
              <m:t>*</m:t>
            </m:r>
          </m:sup>
        </m:sSubSup>
      </m:oMath>
      <w:r>
        <w:t xml:space="preserve">:</w:t>
      </w:r>
      <w:r>
        <w:t xml:space="preserve"> </w:t>
      </w:r>
      <m:oMath>
        <m:sSubSup>
          <m:e>
            <m:r>
              <m:t>Y</m:t>
            </m:r>
          </m:e>
          <m:sub>
            <m:r>
              <m:t>i</m:t>
            </m:r>
          </m:sub>
          <m:sup>
            <m:r>
              <m:t>*</m:t>
            </m:r>
          </m:sup>
        </m:sSubSup>
      </m:oMath>
      <w:r>
        <w:t xml:space="preserve"> </w:t>
      </w:r>
      <w:r>
        <w:t xml:space="preserve">model (D, E).</w:t>
      </w:r>
      <w:r>
        <w:t xml:space="preserve"> </w:t>
      </w:r>
      <m:oMath>
        <m:sSub>
          <m:e>
            <m:r>
              <m:t>D</m:t>
            </m:r>
          </m:e>
          <m:sub>
            <m:r>
              <m:t>j</m:t>
            </m:r>
          </m:sub>
        </m:sSub>
      </m:oMath>
      <w:r>
        <w:t xml:space="preserve">:</w:t>
      </w:r>
      <w:r>
        <w:t xml:space="preserve"> </w:t>
      </w:r>
      <m:oMath>
        <m:sSub>
          <m:e>
            <m:r>
              <m:t>D</m:t>
            </m:r>
          </m:e>
          <m:sub>
            <m:r>
              <m:t>j</m:t>
            </m:r>
          </m:sub>
        </m:sSub>
      </m:oMath>
      <w:r>
        <w:t xml:space="preserve"> </w:t>
      </w:r>
      <w:r>
        <w:t xml:space="preserve">model (F, G). Scientific model: model fitted to scientific data only. Commercial model: model fitted to commercial data only. Integratedd model: model fitted to both data sources.</w:t>
      </w:r>
    </w:p>
    <w:p>
      <w:pPr>
        <w:pStyle w:val="Titre2"/>
      </w:pPr>
      <w:bookmarkStart w:id="37" w:name="real-case-study"/>
      <w:r>
        <w:t xml:space="preserve">Real case study</w:t>
      </w:r>
      <w:bookmarkEnd w:id="37"/>
    </w:p>
    <w:p>
      <w:pPr>
        <w:pStyle w:val="CaptionedFigure"/>
      </w:pPr>
      <w:r>
        <w:drawing>
          <wp:inline>
            <wp:extent cx="5969000" cy="4775199"/>
            <wp:effectExtent b="0" l="0" r="0" t="0"/>
            <wp:docPr descr="Figure 6.   Parameters obtained with scientific-based model, the integrated model fitted on reallocated catch Y_i^* and the integrated model fitted on catch declarations D_j." title="" id="1" name="Picture"/>
            <a:graphic>
              <a:graphicData uri="http://schemas.openxmlformats.org/drawingml/2006/picture">
                <pic:pic>
                  <pic:nvPicPr>
                    <pic:cNvPr descr="images/par_plot.png" id="0" name="Picture"/>
                    <pic:cNvPicPr>
                      <a:picLocks noChangeArrowheads="1" noChangeAspect="1"/>
                    </pic:cNvPicPr>
                  </pic:nvPicPr>
                  <pic:blipFill>
                    <a:blip r:embed="rId38"/>
                    <a:stretch>
                      <a:fillRect/>
                    </a:stretch>
                  </pic:blipFill>
                  <pic:spPr bwMode="auto">
                    <a:xfrm>
                      <a:off x="0" y="0"/>
                      <a:ext cx="5969000" cy="477519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Parameters obtained with scientific-based model, the integrated model fitted on reallocated catch</w:t>
      </w:r>
      <w:r>
        <w:t xml:space="preserve"> </w:t>
      </w:r>
      <m:oMath>
        <m:sSubSup>
          <m:e>
            <m:r>
              <m:t>Y</m:t>
            </m:r>
          </m:e>
          <m:sub>
            <m:r>
              <m:t>i</m:t>
            </m:r>
          </m:sub>
          <m:sup>
            <m:r>
              <m:t>*</m:t>
            </m:r>
          </m:sup>
        </m:sSubSup>
      </m:oMath>
      <w:r>
        <w:t xml:space="preserve"> </w:t>
      </w:r>
      <w:r>
        <w:t xml:space="preserve">and the integrated model fitted on catch declarations</w:t>
      </w:r>
      <w:r>
        <w:t xml:space="preserve"> </w:t>
      </w:r>
      <m:oMath>
        <m:sSub>
          <m:e>
            <m:r>
              <m:t>D</m:t>
            </m:r>
          </m:e>
          <m:sub>
            <m:r>
              <m:t>j</m:t>
            </m:r>
          </m:sub>
        </m:sSub>
      </m:oMath>
      <w:r>
        <w:t xml:space="preserve">.</w:t>
      </w:r>
    </w:p>
    <w:p>
      <w:pPr>
        <w:pStyle w:val="CaptionedFigure"/>
      </w:pPr>
      <w:r>
        <w:drawing>
          <wp:inline>
            <wp:extent cx="5969000" cy="1989666"/>
            <wp:effectExtent b="0" l="0" r="0" t="0"/>
            <wp:docPr descr="Figure 7.   Maps obtained from (left) the scientific-based model, (center) the integrated model fitted on punctual reallocated catch Y_i^*, (right) the integrated model fitted on catch declarations D_j." title="" id="1" name="Picture"/>
            <a:graphic>
              <a:graphicData uri="http://schemas.openxmlformats.org/drawingml/2006/picture">
                <pic:pic>
                  <pic:nvPicPr>
                    <pic:cNvPr descr="images/case_study_plot.png" id="0" name="Picture"/>
                    <pic:cNvPicPr>
                      <a:picLocks noChangeArrowheads="1" noChangeAspect="1"/>
                    </pic:cNvPicPr>
                  </pic:nvPicPr>
                  <pic:blipFill>
                    <a:blip r:embed="rId39"/>
                    <a:stretch>
                      <a:fillRect/>
                    </a:stretch>
                  </pic:blipFill>
                  <pic:spPr bwMode="auto">
                    <a:xfrm>
                      <a:off x="0" y="0"/>
                      <a:ext cx="5969000" cy="198966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  </w:t>
      </w:r>
      <w:r>
        <w:t xml:space="preserve"> </w:t>
      </w:r>
      <w:r>
        <w:t xml:space="preserve">Maps obtained from (left) the scientific-based model, (center) the integrated model fitted on punctual reallocated catch</w:t>
      </w:r>
      <w:r>
        <w:t xml:space="preserve"> </w:t>
      </w:r>
      <m:oMath>
        <m:sSubSup>
          <m:e>
            <m:r>
              <m:t>Y</m:t>
            </m:r>
          </m:e>
          <m:sub>
            <m:r>
              <m:t>i</m:t>
            </m:r>
          </m:sub>
          <m:sup>
            <m:r>
              <m:t>*</m:t>
            </m:r>
          </m:sup>
        </m:sSubSup>
      </m:oMath>
      <w:r>
        <w:t xml:space="preserve">, (right) the integrated model fitted on catch declarations</w:t>
      </w:r>
      <w:r>
        <w:t xml:space="preserve"> </w:t>
      </w:r>
      <m:oMath>
        <m:sSub>
          <m:e>
            <m:r>
              <m:t>D</m:t>
            </m:r>
          </m:e>
          <m:sub>
            <m:r>
              <m:t>j</m:t>
            </m:r>
          </m:sub>
        </m:sSub>
      </m:oMath>
      <w:r>
        <w:t xml:space="preserve">.</w:t>
      </w:r>
    </w:p>
    <w:p>
      <w:pPr>
        <w:pStyle w:val="Corpsdetexte"/>
      </w:pPr>
      <w:r>
        <w:t xml:space="preserve">Consistently with simulations, the</w:t>
      </w:r>
      <w:r>
        <w:t xml:space="preserve"> </w:t>
      </w:r>
      <m:oMath>
        <m:sSub>
          <m:e>
            <m:r>
              <m:t>D</m:t>
            </m:r>
          </m:e>
          <m:sub>
            <m:r>
              <m:t>j</m:t>
            </m:r>
          </m:sub>
        </m:sSub>
      </m:oMath>
      <w:r>
        <w:t xml:space="preserve"> </w:t>
      </w:r>
      <w:r>
        <w:t xml:space="preserve">model modifies some of the parameters estimates and revises the spatial pattern of the species distribution compared with the</w:t>
      </w:r>
      <w:r>
        <w:t xml:space="preserve"> </w:t>
      </w:r>
      <m:oMath>
        <m:sSubSup>
          <m:e>
            <m:r>
              <m:t>Y</m:t>
            </m:r>
          </m:e>
          <m:sub>
            <m:r>
              <m:t>i</m:t>
            </m:r>
          </m:sub>
          <m:sup>
            <m:r>
              <m:t>*</m:t>
            </m:r>
          </m:sup>
        </m:sSubSup>
      </m:oMath>
      <w:r>
        <w:t xml:space="preserve"> </w:t>
      </w:r>
      <w:r>
        <w:t xml:space="preserve">model. In particular, the substrate effect is recovered in the</w:t>
      </w:r>
      <w:r>
        <w:t xml:space="preserve"> </w:t>
      </w:r>
      <m:oMath>
        <m:sSub>
          <m:e>
            <m:r>
              <m:t>D</m:t>
            </m:r>
          </m:e>
          <m:sub>
            <m:r>
              <m:t>j</m:t>
            </m:r>
          </m:sub>
        </m:sSub>
      </m:oMath>
      <w:r>
        <w:t xml:space="preserve"> </w:t>
      </w:r>
      <w:r>
        <w:t xml:space="preserve">model and fall in the same range of values of the scientific-based estimate (Figure</w:t>
      </w:r>
      <w:r>
        <w:t xml:space="preserve"> </w:t>
      </w:r>
      <w:r>
        <w:t xml:space="preserve">7</w:t>
      </w:r>
      <w:r>
        <w:t xml:space="preserve">). The zero-inflation parameter</w:t>
      </w:r>
      <w:r>
        <w:t xml:space="preserve"> </w:t>
      </w:r>
      <m:oMath>
        <m:r>
          <m:t>ξ</m:t>
        </m:r>
      </m:oMath>
      <w:r>
        <w:t xml:space="preserve"> </w:t>
      </w:r>
      <w:r>
        <w:t xml:space="preserve">is revised downwards (i.e. there are actually more zero-values than in the reallocated data) while the observation variance of commercial data is revised upwards (i.e. the commercial data are more noisy than expected when building likelihood on</w:t>
      </w:r>
      <w:r>
        <w:t xml:space="preserve"> </w:t>
      </w:r>
      <m:oMath>
        <m:sSub>
          <m:e>
            <m:r>
              <m:t>Y</m:t>
            </m:r>
          </m:e>
          <m:sub>
            <m:r>
              <m:t>i</m:t>
            </m:r>
          </m:sub>
        </m:sSub>
      </m:oMath>
      <w:r>
        <w:t xml:space="preserve">).</w:t>
      </w:r>
    </w:p>
    <w:p>
      <w:pPr>
        <w:pStyle w:val="Corpsdetexte"/>
      </w:pPr>
      <w:r>
        <w:t xml:space="preserve">In addition, uncertainty is also revised when fitting the model at the declaration level. For instance, when comparing the</w:t>
      </w:r>
      <w:r>
        <w:t xml:space="preserve"> </w:t>
      </w:r>
      <m:oMath>
        <m:sSubSup>
          <m:e>
            <m:r>
              <m:t>Y</m:t>
            </m:r>
          </m:e>
          <m:sub>
            <m:r>
              <m:t>i</m:t>
            </m:r>
          </m:sub>
          <m:sup>
            <m:r>
              <m:t>*</m:t>
            </m:r>
          </m:sup>
        </m:sSubSup>
      </m:oMath>
      <w:r>
        <w:t xml:space="preserve"> </w:t>
      </w:r>
      <w:r>
        <w:t xml:space="preserve">model to the</w:t>
      </w:r>
      <w:r>
        <w:t xml:space="preserve"> </w:t>
      </w:r>
      <m:oMath>
        <m:sSub>
          <m:e>
            <m:r>
              <m:t>D</m:t>
            </m:r>
          </m:e>
          <m:sub>
            <m:r>
              <m:t>j</m:t>
            </m:r>
          </m:sub>
        </m:sSub>
      </m:oMath>
      <w:r>
        <w:t xml:space="preserve"> </w:t>
      </w:r>
      <w:r>
        <w:t xml:space="preserve">model, the confidence intervals of</w:t>
      </w:r>
      <w:r>
        <w:t xml:space="preserve"> </w:t>
      </w:r>
      <m:oMath>
        <m:sSub>
          <m:e>
            <m:r>
              <m:t>β</m:t>
            </m:r>
          </m:e>
          <m:sub>
            <m:r>
              <m:t>S</m:t>
            </m:r>
          </m:sub>
        </m:sSub>
      </m:oMath>
      <w:r>
        <w:t xml:space="preserve">, the marginal variance, the range,</w:t>
      </w:r>
      <w:r>
        <w:t xml:space="preserve"> </w:t>
      </w:r>
      <m:oMath>
        <m:sSub>
          <m:e>
            <m:r>
              <m:t>ξ</m:t>
            </m:r>
          </m:e>
          <m:sub>
            <m:r>
              <m:t>c</m:t>
            </m:r>
            <m:r>
              <m:t>o</m:t>
            </m:r>
            <m:r>
              <m:t>m</m:t>
            </m:r>
          </m:sub>
        </m:sSub>
      </m:oMath>
      <w:r>
        <w:t xml:space="preserve">,</w:t>
      </w:r>
      <w:r>
        <w:t xml:space="preserve"> </w:t>
      </w:r>
      <m:oMath>
        <m:sSub>
          <m:e>
            <m:r>
              <m:t>σ</m:t>
            </m:r>
          </m:e>
          <m:sub>
            <m:r>
              <m:t>c</m:t>
            </m:r>
            <m:r>
              <m:t>o</m:t>
            </m:r>
            <m:r>
              <m:t>m</m:t>
            </m:r>
          </m:sub>
        </m:sSub>
      </m:oMath>
      <w:r>
        <w:t xml:space="preserve"> </w:t>
      </w:r>
      <w:r>
        <w:t xml:space="preserve">are much wider. This emphasizes that uncertainty is probably underestimated in the</w:t>
      </w:r>
      <w:r>
        <w:t xml:space="preserve"> </w:t>
      </w:r>
      <m:oMath>
        <m:sSubSup>
          <m:e>
            <m:r>
              <m:t>Y</m:t>
            </m:r>
          </m:e>
          <m:sub>
            <m:r>
              <m:t>i</m:t>
            </m:r>
          </m:sub>
          <m:sup>
            <m:r>
              <m:t>*</m:t>
            </m:r>
          </m:sup>
        </m:sSubSup>
      </m:oMath>
      <w:r>
        <w:t xml:space="preserve"> </w:t>
      </w:r>
      <w:r>
        <w:t xml:space="preserve">model compared with the</w:t>
      </w:r>
      <w:r>
        <w:t xml:space="preserve"> </w:t>
      </w:r>
      <m:oMath>
        <m:sSub>
          <m:e>
            <m:r>
              <m:t>D</m:t>
            </m:r>
          </m:e>
          <m:sub>
            <m:r>
              <m:t>j</m:t>
            </m:r>
          </m:sub>
        </m:sSub>
      </m:oMath>
      <w:r>
        <w:t xml:space="preserve"> </w:t>
      </w:r>
      <w:r>
        <w:t xml:space="preserve">model. Now, when comparing the scientific-based model and the integrated</w:t>
      </w:r>
      <w:r>
        <w:t xml:space="preserve"> </w:t>
      </w:r>
      <m:oMath>
        <m:sSub>
          <m:e>
            <m:r>
              <m:t>D</m:t>
            </m:r>
          </m:e>
          <m:sub>
            <m:r>
              <m:t>j</m:t>
            </m:r>
          </m:sub>
        </m:sSub>
      </m:oMath>
      <w:r>
        <w:t xml:space="preserve"> </w:t>
      </w:r>
      <w:r>
        <w:t xml:space="preserve">model, some parameters are better estimated than when there is only scientific data feeding the model. For instance, while in the scientific-based model the substrate effect was not significant, in the integrated model built on</w:t>
      </w:r>
      <w:r>
        <w:t xml:space="preserve"> </w:t>
      </w:r>
      <m:oMath>
        <m:sSub>
          <m:e>
            <m:r>
              <m:t>D</m:t>
            </m:r>
          </m:e>
          <m:sub>
            <m:r>
              <m:t>j</m:t>
            </m:r>
          </m:sub>
        </m:sSub>
      </m:oMath>
      <w:r>
        <w:t xml:space="preserve"> </w:t>
      </w:r>
      <w:r>
        <w:t xml:space="preserve">substrate is significant and the confidence interval is smaller.</w:t>
      </w:r>
    </w:p>
    <w:p>
      <w:pPr>
        <w:pStyle w:val="Corpsdetexte"/>
      </w:pPr>
      <w:r>
        <w:t xml:space="preserve">On the contrary, other parameters do not seems be well estimated in either the</w:t>
      </w:r>
      <w:r>
        <w:t xml:space="preserve"> </w:t>
      </w:r>
      <m:oMath>
        <m:sSubSup>
          <m:e>
            <m:r>
              <m:t>Y</m:t>
            </m:r>
          </m:e>
          <m:sub>
            <m:r>
              <m:t>i</m:t>
            </m:r>
          </m:sub>
          <m:sup>
            <m:r>
              <m:t>*</m:t>
            </m:r>
          </m:sup>
        </m:sSubSup>
      </m:oMath>
      <w:r>
        <w:t xml:space="preserve"> </w:t>
      </w:r>
      <w:r>
        <w:t xml:space="preserve">or the</w:t>
      </w:r>
      <w:r>
        <w:t xml:space="preserve"> </w:t>
      </w:r>
      <m:oMath>
        <m:sSub>
          <m:e>
            <m:r>
              <m:t>D</m:t>
            </m:r>
          </m:e>
          <m:sub>
            <m:r>
              <m:t>j</m:t>
            </m:r>
          </m:sub>
        </m:sSub>
      </m:oMath>
      <w:r>
        <w:t xml:space="preserve"> </w:t>
      </w:r>
      <w:r>
        <w:t xml:space="preserve">models. For instance, compared to the scientific-based model, the intercept is revised upwards when building the likelihood on</w:t>
      </w:r>
      <w:r>
        <w:t xml:space="preserve"> </w:t>
      </w:r>
      <m:oMath>
        <m:sSub>
          <m:e>
            <m:r>
              <m:t>Y</m:t>
            </m:r>
          </m:e>
          <m:sub>
            <m:r>
              <m:t>i</m:t>
            </m:r>
          </m:sub>
        </m:sSub>
      </m:oMath>
      <w:r>
        <w:t xml:space="preserve"> </w:t>
      </w:r>
      <w:r>
        <w:t xml:space="preserve">and revised downards when working on</w:t>
      </w:r>
      <w:r>
        <w:t xml:space="preserve"> </w:t>
      </w:r>
      <m:oMath>
        <m:sSub>
          <m:e>
            <m:r>
              <m:t>D</m:t>
            </m:r>
          </m:e>
          <m:sub>
            <m:r>
              <m:t>j</m:t>
            </m:r>
          </m:sub>
        </m:sSub>
      </m:oMath>
      <w:r>
        <w:t xml:space="preserve">. This is consistent with simulations results, see Figure</w:t>
      </w:r>
      <w:r>
        <w:t xml:space="preserve"> </w:t>
      </w:r>
      <w:r>
        <w:t xml:space="preserve">3</w:t>
      </w:r>
      <w:r>
        <w:t xml:space="preserve">.</w:t>
      </w:r>
    </w:p>
    <w:p>
      <w:pPr>
        <w:pStyle w:val="Corpsdetexte"/>
      </w:pPr>
      <w:r>
        <w:t xml:space="preserve">Regarding the maps of the species distribution, fitting the model at the</w:t>
      </w:r>
      <w:r>
        <w:t xml:space="preserve"> </w:t>
      </w:r>
      <m:oMath>
        <m:sSub>
          <m:e>
            <m:r>
              <m:t>D</m:t>
            </m:r>
          </m:e>
          <m:sub>
            <m:r>
              <m:t>j</m:t>
            </m:r>
          </m:sub>
        </m:sSub>
      </m:oMath>
      <w:r>
        <w:t xml:space="preserve"> </w:t>
      </w:r>
      <w:r>
        <w:t xml:space="preserve">level strongly modifies the model biomass field compared with the</w:t>
      </w:r>
      <w:r>
        <w:t xml:space="preserve"> </w:t>
      </w:r>
      <m:oMath>
        <m:sSubSup>
          <m:e>
            <m:r>
              <m:t>Y</m:t>
            </m:r>
          </m:e>
          <m:sub>
            <m:r>
              <m:t>i</m:t>
            </m:r>
          </m:sub>
          <m:sup>
            <m:r>
              <m:t>*</m:t>
            </m:r>
          </m:sup>
        </m:sSubSup>
      </m:oMath>
      <w:r>
        <w:t xml:space="preserve"> </w:t>
      </w:r>
      <w:r>
        <w:t xml:space="preserve">model. In particular, the substrate covariate have a sharper effect on species distribution and the intensity of the hotspots are revised when fitting the model on</w:t>
      </w:r>
      <w:r>
        <w:t xml:space="preserve"> </w:t>
      </w:r>
      <m:oMath>
        <m:sSub>
          <m:e>
            <m:r>
              <m:t>D</m:t>
            </m:r>
          </m:e>
          <m:sub>
            <m:r>
              <m:t>j</m:t>
            </m:r>
          </m:sub>
        </m:sSub>
      </m:oMath>
      <w:r>
        <w:t xml:space="preserve">.</w:t>
      </w:r>
    </w:p>
    <w:p>
      <w:pPr>
        <w:pStyle w:val="Corpsdetexte"/>
      </w:pPr>
      <w:r>
        <w:t xml:space="preserve">Finally, the</w:t>
      </w:r>
      <w:r>
        <w:t xml:space="preserve"> </w:t>
      </w:r>
      <m:oMath>
        <m:sSub>
          <m:e>
            <m:r>
              <m:t>D</m:t>
            </m:r>
          </m:e>
          <m:sub>
            <m:r>
              <m:t>j</m:t>
            </m:r>
          </m:sub>
        </m:sSub>
      </m:oMath>
      <w:r>
        <w:t xml:space="preserve"> </w:t>
      </w:r>
      <w:r>
        <w:t xml:space="preserve">model fitted only on commercial data does not converge (while the one fitted on</w:t>
      </w:r>
      <w:r>
        <w:t xml:space="preserve"> </w:t>
      </w:r>
      <m:oMath>
        <m:sSubSup>
          <m:e>
            <m:r>
              <m:t>Y</m:t>
            </m:r>
          </m:e>
          <m:sub>
            <m:r>
              <m:t>i</m:t>
            </m:r>
          </m:sub>
          <m:sup>
            <m:r>
              <m:t>*</m:t>
            </m:r>
          </m:sup>
        </m:sSubSup>
      </m:oMath>
      <w:r>
        <w:t xml:space="preserve"> </w:t>
      </w:r>
      <w:r>
        <w:t xml:space="preserve">does) emphasizing the model fitted on catch declarations face difficulties to converge and require punctual observations (here survey data and on-board observer data) to converge on real data.</w:t>
      </w:r>
    </w:p>
    <w:p>
      <w:pPr>
        <w:pStyle w:val="Titre1"/>
      </w:pPr>
      <w:bookmarkStart w:id="40" w:name="discussion"/>
      <w:r>
        <w:t xml:space="preserve">Discussion</w:t>
      </w:r>
      <w:bookmarkEnd w:id="40"/>
    </w:p>
    <w:p>
      <w:r>
        <w:br w:type="page"/>
      </w:r>
    </w:p>
    <w:p>
      <w:pPr>
        <w:pStyle w:val="Titre1"/>
      </w:pPr>
      <w:bookmarkStart w:id="41" w:name="references"/>
      <w:r>
        <w:t xml:space="preserve">References</w:t>
      </w:r>
      <w:bookmarkEnd w:id="41"/>
    </w:p>
    <w:bookmarkStart w:id="51" w:name="refs"/>
    <w:bookmarkStart w:id="43" w:name="ref-alglave_combining_2022"/>
    <w:p>
      <w:pPr>
        <w:pStyle w:val="Bibliographie"/>
        <w:pStyle w:val="Bibliographie"/>
      </w:pPr>
      <w:r>
        <w:t xml:space="preserve">Alglave, B., Rivot, E., Etienne, M.-P., Woillez, M., Thorson, J. T., &amp; Vermard, Y. (2022). Combining scientific survey and commercial catch data to map fish distribution.</w:t>
      </w:r>
      <w:r>
        <w:t xml:space="preserve"> </w:t>
      </w:r>
      <w:r>
        <w:rPr>
          <w:i/>
        </w:rPr>
        <w:t xml:space="preserve">ICES Journal of Marine Science</w:t>
      </w:r>
      <w:r>
        <w:t xml:space="preserve">, fsac032.</w:t>
      </w:r>
      <w:r>
        <w:t xml:space="preserve"> </w:t>
      </w:r>
      <w:hyperlink r:id="rId42">
        <w:r>
          <w:rPr>
            <w:rStyle w:val="Hyperlink"/>
          </w:rPr>
          <w:t xml:space="preserve">https://doi.org/10.1093/icesjms/fsac032</w:t>
        </w:r>
      </w:hyperlink>
    </w:p>
    <w:bookmarkEnd w:id="43"/>
    <w:bookmarkStart w:id="45" w:name="ref-biais_gerard_orhago_2003"/>
    <w:p>
      <w:pPr>
        <w:pStyle w:val="Bibliographie"/>
        <w:pStyle w:val="Bibliographie"/>
      </w:pPr>
      <w:r>
        <w:t xml:space="preserve">Gérard, B. (2003). ORHAGO.</w:t>
      </w:r>
      <w:r>
        <w:t xml:space="preserve"> </w:t>
      </w:r>
      <w:hyperlink r:id="rId44">
        <w:r>
          <w:rPr>
            <w:rStyle w:val="Hyperlink"/>
          </w:rPr>
          <w:t xml:space="preserve">https://doi.org/10.18142/23</w:t>
        </w:r>
      </w:hyperlink>
    </w:p>
    <w:bookmarkEnd w:id="45"/>
    <w:bookmarkStart w:id="46" w:name="ref-ices_report_2018-1"/>
    <w:p>
      <w:pPr>
        <w:pStyle w:val="Bibliographie"/>
        <w:pStyle w:val="Bibliographie"/>
      </w:pPr>
      <w:r>
        <w:t xml:space="preserve">ICES. (2018a).</w:t>
      </w:r>
      <w:r>
        <w:t xml:space="preserve"> </w:t>
      </w:r>
      <w:r>
        <w:rPr>
          <w:i/>
        </w:rPr>
        <w:t xml:space="preserve">Report of the Working Group for the Bay of Biscay and the Iberian Waters Ecoregion (WGBIE)</w:t>
      </w:r>
      <w:r>
        <w:t xml:space="preserve"> </w:t>
      </w:r>
      <w:r>
        <w:t xml:space="preserve">(p. 642). Copenhagen, Denmark.</w:t>
      </w:r>
    </w:p>
    <w:bookmarkEnd w:id="46"/>
    <w:bookmarkStart w:id="47" w:name="ref-ices_report_2018"/>
    <w:p>
      <w:pPr>
        <w:pStyle w:val="Bibliographie"/>
        <w:pStyle w:val="Bibliographie"/>
      </w:pPr>
      <w:r>
        <w:t xml:space="preserve">ICES. (2018b).</w:t>
      </w:r>
      <w:r>
        <w:t xml:space="preserve"> </w:t>
      </w:r>
      <w:r>
        <w:rPr>
          <w:i/>
        </w:rPr>
        <w:t xml:space="preserve">Report of the Working Group on Beam Trawl Surveys (WGBEAM)</w:t>
      </w:r>
      <w:r>
        <w:t xml:space="preserve"> </w:t>
      </w:r>
      <w:r>
        <w:t xml:space="preserve">(p. 121). Galway, Ireland.</w:t>
      </w:r>
    </w:p>
    <w:bookmarkEnd w:id="47"/>
    <w:bookmarkStart w:id="49" w:name="ref-kristensen_tmb_2016"/>
    <w:p>
      <w:pPr>
        <w:pStyle w:val="Bibliographie"/>
        <w:pStyle w:val="Bibliographie"/>
      </w:pPr>
      <w:r>
        <w:t xml:space="preserve">Kristensen, K., Nielsen, A., Berg, C. W., Skaug, H., &amp; Bell, B. M. (2016). TMB: Automatic Differentiation and Laplace Approximation.</w:t>
      </w:r>
      <w:r>
        <w:t xml:space="preserve"> </w:t>
      </w:r>
      <w:r>
        <w:rPr>
          <w:i/>
        </w:rPr>
        <w:t xml:space="preserve">Journal of Statistical Software</w:t>
      </w:r>
      <w:r>
        <w:t xml:space="preserve">,</w:t>
      </w:r>
      <w:r>
        <w:t xml:space="preserve"> </w:t>
      </w:r>
      <w:r>
        <w:rPr>
          <w:i/>
        </w:rPr>
        <w:t xml:space="preserve">70</w:t>
      </w:r>
      <w:r>
        <w:t xml:space="preserve">(1), 1–21.</w:t>
      </w:r>
      <w:r>
        <w:t xml:space="preserve"> </w:t>
      </w:r>
      <w:hyperlink r:id="rId48">
        <w:r>
          <w:rPr>
            <w:rStyle w:val="Hyperlink"/>
          </w:rPr>
          <w:t xml:space="preserve">https://doi.org/10.18637/jss.v070.i05</w:t>
        </w:r>
      </w:hyperlink>
    </w:p>
    <w:bookmarkEnd w:id="49"/>
    <w:bookmarkStart w:id="50" w:name="ref-thorson_three_2018"/>
    <w:p>
      <w:pPr>
        <w:pStyle w:val="Bibliographie"/>
        <w:pStyle w:val="Bibliographie"/>
      </w:pPr>
      <w:r>
        <w:t xml:space="preserve">Thorson, J. T. (2018). Three problems with the conventional delta-model for biomass sampling data, and a computationally efficient alternative.</w:t>
      </w:r>
      <w:r>
        <w:t xml:space="preserve"> </w:t>
      </w:r>
      <w:r>
        <w:rPr>
          <w:i/>
        </w:rPr>
        <w:t xml:space="preserve">Canadian Journal of Fisheries and Aquatic Sciences</w:t>
      </w:r>
      <w:r>
        <w:t xml:space="preserve">,</w:t>
      </w:r>
      <w:r>
        <w:t xml:space="preserve"> </w:t>
      </w:r>
      <w:r>
        <w:rPr>
          <w:i/>
        </w:rPr>
        <w:t xml:space="preserve">75</w:t>
      </w:r>
      <w:r>
        <w:t xml:space="preserve">(9), 1369–1382.</w:t>
      </w:r>
    </w:p>
    <w:bookmarkEnd w:id="50"/>
    <w:bookmarkEnd w:id="51"/>
    <w:sectPr w:rsidR="0050184D">
      <w:headerReference w:type="even" r:id="rId11"/>
      <w:headerReference w:type="default" r:id="rId9"/>
      <w:footerReference w:type="even" r:id="rId13"/>
      <w:footerReference w:type="default" r:id="rId12"/>
      <w:headerReference w:type="first" r:id="rId10"/>
      <w:footerReference w:type="first" r:id="rId14"/>
      <w:pgSz w:w="12240" w:h="15840"/>
      <w:pgMar w:top="1417" w:right="1417" w:bottom="1134" w:left="1417" w:header="0" w:footer="0" w:gutter="0"/>
      <w:cols w:space="720"/>
      <w:formProt w:val="0"/>
      <w:docGrid w:linePitch="240" w:charSpace="-6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7AC" w:rsidRDefault="004322A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1942396"/>
      <w:docPartObj>
        <w:docPartGallery w:val="Page Numbers (Bottom of Page)"/>
        <w:docPartUnique/>
      </w:docPartObj>
    </w:sdtPr>
    <w:sdtEndPr/>
    <w:sdtContent>
      <w:p w:rsidR="00AC17AC" w:rsidRDefault="00876D0C">
        <w:pPr>
          <w:pStyle w:val="Pieddepage"/>
          <w:jc w:val="right"/>
        </w:pPr>
        <w:r>
          <w:fldChar w:fldCharType="begin"/>
        </w:r>
        <w:r>
          <w:instrText>PAGE   \* MERGEFORMAT</w:instrText>
        </w:r>
        <w:r>
          <w:fldChar w:fldCharType="separate"/>
        </w:r>
        <w:r w:rsidR="004322A5" w:rsidRPr="004322A5">
          <w:rPr>
            <w:noProof/>
            <w:lang w:val="fr-FR"/>
          </w:rPr>
          <w:t>21</w:t>
        </w:r>
        <w:r>
          <w:fldChar w:fldCharType="end"/>
        </w:r>
      </w:p>
    </w:sdtContent>
  </w:sdt>
  <w:p w:rsidR="00AC17AC" w:rsidRDefault="004322A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7AC" w:rsidRDefault="004322A5">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7AC" w:rsidRDefault="004322A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7AC" w:rsidRDefault="004322A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7AC" w:rsidRDefault="004322A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E45E55"/>
    <w:multiLevelType w:val="multilevel"/>
    <w:tmpl w:val="50DC893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BCB774F0"/>
    <w:multiLevelType w:val="multilevel"/>
    <w:tmpl w:val="C10A1E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BED7498E"/>
    <w:multiLevelType w:val="multilevel"/>
    <w:tmpl w:val="075A81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07405141"/>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0CCF214A"/>
    <w:multiLevelType w:val="multilevel"/>
    <w:tmpl w:val="CE9CC86C"/>
    <w:lvl w:ilvl="0">
      <w:start w:val="1"/>
      <w:numFmt w:val="decimal"/>
      <w:lvlText w:val="%1."/>
      <w:lvlJc w:val="left"/>
      <w:pPr>
        <w:ind w:left="360" w:hanging="360"/>
      </w:pPr>
      <w:rPr>
        <w:b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rPr>
        <w:b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40" w:firstLine="0"/>
      </w:pPr>
    </w:lvl>
    <w:lvl w:ilvl="3">
      <w:start w:val="1"/>
      <w:numFmt w:val="lowerLetter"/>
      <w:lvlText w:val="%4)"/>
      <w:lvlJc w:val="left"/>
      <w:pPr>
        <w:ind w:left="2160" w:firstLine="0"/>
      </w:pPr>
      <w:rPr>
        <w:b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52D33257"/>
    <w:multiLevelType w:val="hybridMultilevel"/>
    <w:tmpl w:val="FF9231EC"/>
    <w:lvl w:ilvl="0" w:tplc="45D2E408">
      <w:start w:val="1"/>
      <w:numFmt w:val="decimal"/>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6" w15:restartNumberingAfterBreak="0">
    <w:nsid w:val="5FAC0393"/>
    <w:multiLevelType w:val="hybridMultilevel"/>
    <w:tmpl w:val="C234BF5A"/>
    <w:lvl w:ilvl="0" w:tplc="3280ACFC">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6"/>
  </w:num>
  <w:num w:numId="5">
    <w:abstractNumId w:val="5"/>
  </w:num>
  <w:num w:numId="6">
    <w:abstractNumId w:val="3"/>
  </w:num>
  <w:num w:numId="7">
    <w:abstractNumId w:val="1"/>
  </w:num>
  <w:num w:numId="1000">
    <w:abstractNumId w:val="990"/>
  </w:num>
  <w:num w:numId="1001">
    <w:abstractNumId w:val="991"/>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1">
    <w:lsdException w:name="heading 1" w:uiPriority="27"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pPr>
  </w:style>
  <w:style w:type="paragraph" w:styleId="Titre1">
    <w:name w:val="heading 1"/>
    <w:basedOn w:val="Normal"/>
    <w:uiPriority w:val="27"/>
    <w:qFormat/>
    <w:rsid w:val="006B256F"/>
    <w:pPr>
      <w:keepNext/>
      <w:keepLines/>
      <w:numPr>
        <w:numId w:val="6"/>
      </w:numPr>
      <w:spacing w:before="480" w:after="0"/>
      <w:outlineLvl w:val="0"/>
    </w:pPr>
    <w:rPr>
      <w:rFonts w:ascii="Arial" w:eastAsiaTheme="majorEastAsia" w:hAnsi="Arial" w:cstheme="majorBidi"/>
      <w:b/>
      <w:bCs/>
      <w:smallCaps/>
      <w:sz w:val="28"/>
      <w:szCs w:val="32"/>
    </w:rPr>
  </w:style>
  <w:style w:type="paragraph" w:styleId="Titre2">
    <w:name w:val="heading 2"/>
    <w:basedOn w:val="Normal"/>
    <w:uiPriority w:val="9"/>
    <w:unhideWhenUsed/>
    <w:qFormat/>
    <w:rsid w:val="0011161C"/>
    <w:pPr>
      <w:keepNext/>
      <w:keepLines/>
      <w:numPr>
        <w:ilvl w:val="1"/>
        <w:numId w:val="6"/>
      </w:numPr>
      <w:spacing w:before="200" w:after="0"/>
      <w:outlineLvl w:val="1"/>
    </w:pPr>
    <w:rPr>
      <w:rFonts w:ascii="Arial" w:eastAsiaTheme="majorEastAsia" w:hAnsi="Arial" w:cstheme="majorBidi"/>
      <w:b/>
      <w:bCs/>
      <w:szCs w:val="32"/>
    </w:rPr>
  </w:style>
  <w:style w:type="paragraph" w:styleId="Titre3">
    <w:name w:val="heading 3"/>
    <w:basedOn w:val="Normal"/>
    <w:uiPriority w:val="9"/>
    <w:unhideWhenUsed/>
    <w:qFormat/>
    <w:rsid w:val="00E265C9"/>
    <w:pPr>
      <w:keepNext/>
      <w:keepLines/>
      <w:numPr>
        <w:ilvl w:val="2"/>
        <w:numId w:val="6"/>
      </w:numPr>
      <w:spacing w:before="200" w:after="0"/>
      <w:outlineLvl w:val="2"/>
    </w:pPr>
    <w:rPr>
      <w:rFonts w:ascii="Arial" w:eastAsiaTheme="majorEastAsia" w:hAnsi="Arial" w:cstheme="majorBidi"/>
      <w:b/>
      <w:bCs/>
      <w:i/>
      <w:szCs w:val="28"/>
    </w:rPr>
  </w:style>
  <w:style w:type="paragraph" w:styleId="Titre4">
    <w:name w:val="heading 4"/>
    <w:basedOn w:val="Normal"/>
    <w:uiPriority w:val="9"/>
    <w:unhideWhenUsed/>
    <w:qFormat/>
    <w:rsid w:val="00E265C9"/>
    <w:pPr>
      <w:keepNext/>
      <w:keepLines/>
      <w:numPr>
        <w:ilvl w:val="3"/>
        <w:numId w:val="6"/>
      </w:numPr>
      <w:spacing w:before="200" w:after="0"/>
      <w:outlineLvl w:val="3"/>
    </w:pPr>
    <w:rPr>
      <w:rFonts w:ascii="Arial" w:eastAsiaTheme="majorEastAsia" w:hAnsi="Arial" w:cstheme="majorBidi"/>
      <w:b/>
      <w:bCs/>
      <w:i/>
    </w:rPr>
  </w:style>
  <w:style w:type="paragraph" w:styleId="Titre5">
    <w:name w:val="heading 5"/>
    <w:basedOn w:val="Normal"/>
    <w:uiPriority w:val="9"/>
    <w:unhideWhenUsed/>
    <w:qFormat/>
    <w:rsid w:val="00A5523B"/>
    <w:pPr>
      <w:keepNext/>
      <w:keepLines/>
      <w:pageBreakBefore/>
      <w:numPr>
        <w:ilvl w:val="4"/>
        <w:numId w:val="6"/>
      </w:numPr>
      <w:spacing w:after="0" w:line="20" w:lineRule="exact"/>
      <w:outlineLvl w:val="4"/>
    </w:pPr>
    <w:rPr>
      <w:rFonts w:ascii="Arial" w:eastAsiaTheme="majorEastAsia" w:hAnsi="Arial" w:cstheme="majorBidi"/>
      <w:i/>
      <w:iCs/>
      <w:color w:val="FFFFFF" w:themeColor="background1"/>
      <w:sz w:val="16"/>
    </w:rPr>
  </w:style>
  <w:style w:type="paragraph" w:styleId="Titre6">
    <w:name w:val="heading 6"/>
    <w:basedOn w:val="Normal"/>
    <w:uiPriority w:val="9"/>
    <w:unhideWhenUsed/>
    <w:qFormat/>
    <w:pPr>
      <w:keepNext/>
      <w:keepLines/>
      <w:numPr>
        <w:ilvl w:val="5"/>
        <w:numId w:val="6"/>
      </w:numPr>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Normal"/>
    <w:link w:val="Titre7Car"/>
    <w:semiHidden/>
    <w:unhideWhenUsed/>
    <w:rsid w:val="00AB5362"/>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semiHidden/>
    <w:unhideWhenUsed/>
    <w:rsid w:val="00AB536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rsid w:val="00AB536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gendeCar">
    <w:name w:val="Légende Car"/>
    <w:basedOn w:val="Policepardfaut"/>
    <w:link w:val="Lgende"/>
    <w:qFormat/>
    <w:rsid w:val="00A520E4"/>
    <w:rPr>
      <w:i/>
    </w:rPr>
  </w:style>
  <w:style w:type="character" w:customStyle="1" w:styleId="VerbatimChar">
    <w:name w:val="Verbatim Char"/>
    <w:basedOn w:val="LgendeCar"/>
    <w:link w:val="SourceCode"/>
    <w:qFormat/>
    <w:rPr>
      <w:rFonts w:ascii="Consolas" w:hAnsi="Consolas"/>
      <w:i/>
      <w:sz w:val="22"/>
    </w:rPr>
  </w:style>
  <w:style w:type="character" w:styleId="Appelnotedebasdep">
    <w:name w:val="footnote reference"/>
    <w:basedOn w:val="LgendeCar"/>
    <w:qFormat/>
    <w:rPr>
      <w:i/>
      <w:vertAlign w:val="superscript"/>
    </w:rPr>
  </w:style>
  <w:style w:type="character" w:customStyle="1" w:styleId="LienInternet">
    <w:name w:val="Lien Internet"/>
    <w:basedOn w:val="LgendeCar"/>
    <w:rPr>
      <w:i/>
      <w:color w:val="4F81BD" w:themeColor="accent1"/>
    </w:rPr>
  </w:style>
  <w:style w:type="character" w:customStyle="1" w:styleId="KeywordTok">
    <w:name w:val="KeywordTok"/>
    <w:basedOn w:val="VerbatimChar"/>
    <w:qFormat/>
    <w:rPr>
      <w:rFonts w:ascii="Consolas" w:hAnsi="Consolas"/>
      <w:i/>
      <w:color w:val="204A87"/>
      <w:sz w:val="22"/>
      <w:shd w:val="clear" w:color="auto" w:fill="F8F8F8"/>
    </w:rPr>
  </w:style>
  <w:style w:type="character" w:customStyle="1" w:styleId="DataTypeTok">
    <w:name w:val="DataTypeTok"/>
    <w:basedOn w:val="VerbatimChar"/>
    <w:qFormat/>
    <w:rPr>
      <w:rFonts w:ascii="Consolas" w:hAnsi="Consolas"/>
      <w:i/>
      <w:color w:val="204A87"/>
      <w:sz w:val="22"/>
      <w:shd w:val="clear" w:color="auto" w:fill="F8F8F8"/>
    </w:rPr>
  </w:style>
  <w:style w:type="character" w:customStyle="1" w:styleId="DecValTok">
    <w:name w:val="DecValTok"/>
    <w:basedOn w:val="VerbatimChar"/>
    <w:qFormat/>
    <w:rPr>
      <w:rFonts w:ascii="Consolas" w:hAnsi="Consolas"/>
      <w:i/>
      <w:color w:val="0000CF"/>
      <w:sz w:val="22"/>
      <w:shd w:val="clear" w:color="auto" w:fill="F8F8F8"/>
    </w:rPr>
  </w:style>
  <w:style w:type="character" w:customStyle="1" w:styleId="BaseNTok">
    <w:name w:val="BaseNTok"/>
    <w:basedOn w:val="VerbatimChar"/>
    <w:qFormat/>
    <w:rPr>
      <w:rFonts w:ascii="Consolas" w:hAnsi="Consolas"/>
      <w:i/>
      <w:color w:val="0000CF"/>
      <w:sz w:val="22"/>
      <w:shd w:val="clear" w:color="auto" w:fill="F8F8F8"/>
    </w:rPr>
  </w:style>
  <w:style w:type="character" w:customStyle="1" w:styleId="FloatTok">
    <w:name w:val="FloatTok"/>
    <w:basedOn w:val="VerbatimChar"/>
    <w:qFormat/>
    <w:rPr>
      <w:rFonts w:ascii="Consolas" w:hAnsi="Consolas"/>
      <w:i/>
      <w:color w:val="0000CF"/>
      <w:sz w:val="22"/>
      <w:shd w:val="clear" w:color="auto" w:fill="F8F8F8"/>
    </w:rPr>
  </w:style>
  <w:style w:type="character" w:customStyle="1" w:styleId="ConstantTok">
    <w:name w:val="ConstantTok"/>
    <w:basedOn w:val="VerbatimChar"/>
    <w:qFormat/>
    <w:rPr>
      <w:rFonts w:ascii="Consolas" w:hAnsi="Consolas"/>
      <w:i/>
      <w:color w:val="000000"/>
      <w:sz w:val="22"/>
      <w:shd w:val="clear" w:color="auto" w:fill="F8F8F8"/>
    </w:rPr>
  </w:style>
  <w:style w:type="character" w:customStyle="1" w:styleId="CharTok">
    <w:name w:val="CharTok"/>
    <w:basedOn w:val="VerbatimChar"/>
    <w:qFormat/>
    <w:rPr>
      <w:rFonts w:ascii="Consolas" w:hAnsi="Consolas"/>
      <w:i/>
      <w:color w:val="4E9A06"/>
      <w:sz w:val="22"/>
      <w:shd w:val="clear" w:color="auto" w:fill="F8F8F8"/>
    </w:rPr>
  </w:style>
  <w:style w:type="character" w:customStyle="1" w:styleId="SpecialCharTok">
    <w:name w:val="SpecialCharTok"/>
    <w:basedOn w:val="VerbatimChar"/>
    <w:qFormat/>
    <w:rPr>
      <w:rFonts w:ascii="Consolas" w:hAnsi="Consolas"/>
      <w:i/>
      <w:color w:val="000000"/>
      <w:sz w:val="22"/>
      <w:shd w:val="clear" w:color="auto" w:fill="F8F8F8"/>
    </w:rPr>
  </w:style>
  <w:style w:type="character" w:customStyle="1" w:styleId="StringTok">
    <w:name w:val="StringTok"/>
    <w:basedOn w:val="VerbatimChar"/>
    <w:qFormat/>
    <w:rPr>
      <w:rFonts w:ascii="Consolas" w:hAnsi="Consolas"/>
      <w:i/>
      <w:color w:val="4E9A06"/>
      <w:sz w:val="22"/>
      <w:shd w:val="clear" w:color="auto" w:fill="F8F8F8"/>
    </w:rPr>
  </w:style>
  <w:style w:type="character" w:customStyle="1" w:styleId="VerbatimStringTok">
    <w:name w:val="VerbatimStringTok"/>
    <w:basedOn w:val="VerbatimChar"/>
    <w:qFormat/>
    <w:rPr>
      <w:rFonts w:ascii="Consolas" w:hAnsi="Consolas"/>
      <w:i/>
      <w:color w:val="4E9A06"/>
      <w:sz w:val="22"/>
      <w:shd w:val="clear" w:color="auto" w:fill="F8F8F8"/>
    </w:rPr>
  </w:style>
  <w:style w:type="character" w:customStyle="1" w:styleId="SpecialStringTok">
    <w:name w:val="SpecialStringTok"/>
    <w:basedOn w:val="VerbatimChar"/>
    <w:qFormat/>
    <w:rPr>
      <w:rFonts w:ascii="Consolas" w:hAnsi="Consolas"/>
      <w:i/>
      <w:color w:val="4E9A06"/>
      <w:sz w:val="22"/>
      <w:shd w:val="clear" w:color="auto" w:fill="F8F8F8"/>
    </w:rPr>
  </w:style>
  <w:style w:type="character" w:customStyle="1" w:styleId="ImportTok">
    <w:name w:val="ImportTok"/>
    <w:basedOn w:val="VerbatimChar"/>
    <w:qFormat/>
    <w:rPr>
      <w:rFonts w:ascii="Consolas" w:hAnsi="Consolas"/>
      <w:i/>
      <w:sz w:val="22"/>
      <w:shd w:val="clear" w:color="auto" w:fill="F8F8F8"/>
    </w:rPr>
  </w:style>
  <w:style w:type="character" w:customStyle="1" w:styleId="CommentTok">
    <w:name w:val="CommentTok"/>
    <w:basedOn w:val="VerbatimChar"/>
    <w:qFormat/>
    <w:rPr>
      <w:rFonts w:ascii="Consolas" w:hAnsi="Consolas"/>
      <w:i w:val="0"/>
      <w:color w:val="8F5902"/>
      <w:sz w:val="22"/>
      <w:shd w:val="clear" w:color="auto" w:fill="F8F8F8"/>
    </w:rPr>
  </w:style>
  <w:style w:type="character" w:customStyle="1" w:styleId="DocumentationTok">
    <w:name w:val="DocumentationTok"/>
    <w:basedOn w:val="VerbatimChar"/>
    <w:qFormat/>
    <w:rPr>
      <w:rFonts w:ascii="Consolas" w:hAnsi="Consolas"/>
      <w:i w:val="0"/>
      <w:color w:val="8F5902"/>
      <w:sz w:val="22"/>
      <w:shd w:val="clear" w:color="auto" w:fill="F8F8F8"/>
    </w:rPr>
  </w:style>
  <w:style w:type="character" w:customStyle="1" w:styleId="AnnotationTok">
    <w:name w:val="AnnotationTok"/>
    <w:basedOn w:val="VerbatimChar"/>
    <w:qFormat/>
    <w:rPr>
      <w:rFonts w:ascii="Consolas" w:hAnsi="Consolas"/>
      <w:i w:val="0"/>
      <w:color w:val="8F5902"/>
      <w:sz w:val="22"/>
      <w:shd w:val="clear" w:color="auto" w:fill="F8F8F8"/>
    </w:rPr>
  </w:style>
  <w:style w:type="character" w:customStyle="1" w:styleId="CommentVarTok">
    <w:name w:val="CommentVarTok"/>
    <w:basedOn w:val="VerbatimChar"/>
    <w:qFormat/>
    <w:rPr>
      <w:rFonts w:ascii="Consolas" w:hAnsi="Consolas"/>
      <w:i w:val="0"/>
      <w:color w:val="8F5902"/>
      <w:sz w:val="22"/>
      <w:shd w:val="clear" w:color="auto" w:fill="F8F8F8"/>
    </w:rPr>
  </w:style>
  <w:style w:type="character" w:customStyle="1" w:styleId="OtherTok">
    <w:name w:val="OtherTok"/>
    <w:basedOn w:val="VerbatimChar"/>
    <w:qFormat/>
    <w:rPr>
      <w:rFonts w:ascii="Consolas" w:hAnsi="Consolas"/>
      <w:i/>
      <w:color w:val="8F5902"/>
      <w:sz w:val="22"/>
      <w:shd w:val="clear" w:color="auto" w:fill="F8F8F8"/>
    </w:rPr>
  </w:style>
  <w:style w:type="character" w:customStyle="1" w:styleId="FunctionTok">
    <w:name w:val="FunctionTok"/>
    <w:basedOn w:val="VerbatimChar"/>
    <w:qFormat/>
    <w:rPr>
      <w:rFonts w:ascii="Consolas" w:hAnsi="Consolas"/>
      <w:i/>
      <w:color w:val="000000"/>
      <w:sz w:val="22"/>
      <w:shd w:val="clear" w:color="auto" w:fill="F8F8F8"/>
    </w:rPr>
  </w:style>
  <w:style w:type="character" w:customStyle="1" w:styleId="VariableTok">
    <w:name w:val="VariableTok"/>
    <w:basedOn w:val="VerbatimChar"/>
    <w:qFormat/>
    <w:rPr>
      <w:rFonts w:ascii="Consolas" w:hAnsi="Consolas"/>
      <w:i/>
      <w:color w:val="000000"/>
      <w:sz w:val="22"/>
      <w:shd w:val="clear" w:color="auto" w:fill="F8F8F8"/>
    </w:rPr>
  </w:style>
  <w:style w:type="character" w:customStyle="1" w:styleId="ControlFlowTok">
    <w:name w:val="ControlFlowTok"/>
    <w:basedOn w:val="VerbatimChar"/>
    <w:qFormat/>
    <w:rPr>
      <w:rFonts w:ascii="Consolas" w:hAnsi="Consolas"/>
      <w:i/>
      <w:color w:val="204A87"/>
      <w:sz w:val="22"/>
      <w:shd w:val="clear" w:color="auto" w:fill="F8F8F8"/>
    </w:rPr>
  </w:style>
  <w:style w:type="character" w:customStyle="1" w:styleId="OperatorTok">
    <w:name w:val="OperatorTok"/>
    <w:basedOn w:val="VerbatimChar"/>
    <w:qFormat/>
    <w:rPr>
      <w:rFonts w:ascii="Consolas" w:hAnsi="Consolas"/>
      <w:i/>
      <w:color w:val="CE5C00"/>
      <w:sz w:val="22"/>
      <w:shd w:val="clear" w:color="auto" w:fill="F8F8F8"/>
    </w:rPr>
  </w:style>
  <w:style w:type="character" w:customStyle="1" w:styleId="BuiltInTok">
    <w:name w:val="BuiltInTok"/>
    <w:basedOn w:val="VerbatimChar"/>
    <w:qFormat/>
    <w:rPr>
      <w:rFonts w:ascii="Consolas" w:hAnsi="Consolas"/>
      <w:i/>
      <w:sz w:val="22"/>
      <w:shd w:val="clear" w:color="auto" w:fill="F8F8F8"/>
    </w:rPr>
  </w:style>
  <w:style w:type="character" w:customStyle="1" w:styleId="ExtensionTok">
    <w:name w:val="ExtensionTok"/>
    <w:basedOn w:val="VerbatimChar"/>
    <w:qFormat/>
    <w:rPr>
      <w:rFonts w:ascii="Consolas" w:hAnsi="Consolas"/>
      <w:i/>
      <w:sz w:val="22"/>
      <w:shd w:val="clear" w:color="auto" w:fill="F8F8F8"/>
    </w:rPr>
  </w:style>
  <w:style w:type="character" w:customStyle="1" w:styleId="PreprocessorTok">
    <w:name w:val="PreprocessorTok"/>
    <w:basedOn w:val="VerbatimChar"/>
    <w:qFormat/>
    <w:rPr>
      <w:rFonts w:ascii="Consolas" w:hAnsi="Consolas"/>
      <w:i w:val="0"/>
      <w:color w:val="8F5902"/>
      <w:sz w:val="22"/>
      <w:shd w:val="clear" w:color="auto" w:fill="F8F8F8"/>
    </w:rPr>
  </w:style>
  <w:style w:type="character" w:customStyle="1" w:styleId="AttributeTok">
    <w:name w:val="AttributeTok"/>
    <w:basedOn w:val="VerbatimChar"/>
    <w:qFormat/>
    <w:rPr>
      <w:rFonts w:ascii="Consolas" w:hAnsi="Consolas"/>
      <w:i/>
      <w:color w:val="C4A000"/>
      <w:sz w:val="22"/>
      <w:shd w:val="clear" w:color="auto" w:fill="F8F8F8"/>
    </w:rPr>
  </w:style>
  <w:style w:type="character" w:customStyle="1" w:styleId="RegionMarkerTok">
    <w:name w:val="RegionMarkerTok"/>
    <w:basedOn w:val="VerbatimChar"/>
    <w:qFormat/>
    <w:rPr>
      <w:rFonts w:ascii="Consolas" w:hAnsi="Consolas"/>
      <w:i/>
      <w:sz w:val="22"/>
      <w:shd w:val="clear" w:color="auto" w:fill="F8F8F8"/>
    </w:rPr>
  </w:style>
  <w:style w:type="character" w:customStyle="1" w:styleId="InformationTok">
    <w:name w:val="InformationTok"/>
    <w:basedOn w:val="VerbatimChar"/>
    <w:qFormat/>
    <w:rPr>
      <w:rFonts w:ascii="Consolas" w:hAnsi="Consolas"/>
      <w:i w:val="0"/>
      <w:color w:val="8F5902"/>
      <w:sz w:val="22"/>
      <w:shd w:val="clear" w:color="auto" w:fill="F8F8F8"/>
    </w:rPr>
  </w:style>
  <w:style w:type="character" w:customStyle="1" w:styleId="WarningTok">
    <w:name w:val="WarningTok"/>
    <w:basedOn w:val="VerbatimChar"/>
    <w:qFormat/>
    <w:rPr>
      <w:rFonts w:ascii="Consolas" w:hAnsi="Consolas"/>
      <w:i w:val="0"/>
      <w:color w:val="8F5902"/>
      <w:sz w:val="22"/>
      <w:shd w:val="clear" w:color="auto" w:fill="F8F8F8"/>
    </w:rPr>
  </w:style>
  <w:style w:type="character" w:customStyle="1" w:styleId="AlertTok">
    <w:name w:val="AlertTok"/>
    <w:basedOn w:val="VerbatimChar"/>
    <w:qFormat/>
    <w:rPr>
      <w:rFonts w:ascii="Consolas" w:hAnsi="Consolas"/>
      <w:i/>
      <w:color w:val="EF2929"/>
      <w:sz w:val="22"/>
      <w:shd w:val="clear" w:color="auto" w:fill="F8F8F8"/>
    </w:rPr>
  </w:style>
  <w:style w:type="character" w:customStyle="1" w:styleId="ErrorTok">
    <w:name w:val="ErrorTok"/>
    <w:basedOn w:val="VerbatimChar"/>
    <w:qFormat/>
    <w:rPr>
      <w:rFonts w:ascii="Consolas" w:hAnsi="Consolas"/>
      <w:i/>
      <w:color w:val="A40000"/>
      <w:sz w:val="22"/>
      <w:shd w:val="clear" w:color="auto" w:fill="F8F8F8"/>
    </w:rPr>
  </w:style>
  <w:style w:type="character" w:customStyle="1" w:styleId="NormalTok">
    <w:name w:val="NormalTok"/>
    <w:basedOn w:val="VerbatimChar"/>
    <w:qFormat/>
    <w:rPr>
      <w:rFonts w:ascii="Consolas" w:hAnsi="Consolas"/>
      <w:i/>
      <w:sz w:val="22"/>
      <w:shd w:val="clear" w:color="auto" w:fill="F8F8F8"/>
    </w:rPr>
  </w:style>
  <w:style w:type="character" w:customStyle="1" w:styleId="CorpsdetexteCar">
    <w:name w:val="Corps de texte Car"/>
    <w:basedOn w:val="Policepardfaut"/>
    <w:link w:val="Corpsdetexte"/>
    <w:qFormat/>
    <w:rsid w:val="00CC0171"/>
    <w:rPr>
      <w:rFonts w:ascii="Arial" w:eastAsia="Calibri" w:hAnsi="Arial" w:cs="Arial"/>
      <w:color w:val="000000"/>
      <w:szCs w:val="22"/>
      <w:lang w:eastAsia="ko-KR"/>
    </w:rPr>
  </w:style>
  <w:style w:type="character" w:customStyle="1" w:styleId="TitreCar">
    <w:name w:val="Titre Car"/>
    <w:basedOn w:val="Policepardfaut"/>
    <w:link w:val="Titre"/>
    <w:uiPriority w:val="10"/>
    <w:qFormat/>
    <w:rsid w:val="00607518"/>
    <w:rPr>
      <w:rFonts w:ascii="Arial" w:eastAsiaTheme="majorEastAsia" w:hAnsi="Arial" w:cstheme="majorBidi"/>
      <w:b/>
      <w:bCs/>
      <w:sz w:val="32"/>
      <w:szCs w:val="36"/>
    </w:rPr>
  </w:style>
  <w:style w:type="paragraph" w:styleId="Titre">
    <w:name w:val="Title"/>
    <w:basedOn w:val="Normal"/>
    <w:next w:val="Corpsdetexte"/>
    <w:link w:val="TitreCar"/>
    <w:uiPriority w:val="10"/>
    <w:qFormat/>
    <w:rsid w:val="00607518"/>
    <w:pPr>
      <w:keepNext/>
      <w:keepLines/>
      <w:spacing w:before="480" w:after="240"/>
      <w:jc w:val="center"/>
    </w:pPr>
    <w:rPr>
      <w:rFonts w:ascii="Arial" w:eastAsiaTheme="majorEastAsia" w:hAnsi="Arial" w:cstheme="majorBidi"/>
      <w:b/>
      <w:bCs/>
      <w:sz w:val="32"/>
      <w:szCs w:val="36"/>
    </w:rPr>
  </w:style>
  <w:style w:type="paragraph" w:styleId="Corpsdetexte">
    <w:name w:val="Body Text"/>
    <w:basedOn w:val="Normal"/>
    <w:link w:val="CorpsdetexteCar"/>
    <w:qFormat/>
    <w:rsid w:val="00CC0171"/>
    <w:pPr>
      <w:spacing w:before="100" w:after="100" w:line="480" w:lineRule="auto"/>
      <w:jc w:val="both"/>
    </w:pPr>
    <w:rPr>
      <w:rFonts w:ascii="Arial" w:eastAsia="Calibri" w:hAnsi="Arial" w:cs="Arial"/>
      <w:color w:val="000000"/>
      <w:szCs w:val="22"/>
      <w:lang w:eastAsia="ko-KR"/>
    </w:rPr>
  </w:style>
  <w:style w:type="paragraph" w:styleId="Liste">
    <w:name w:val="List"/>
    <w:basedOn w:val="Corpsdetexte"/>
  </w:style>
  <w:style w:type="paragraph" w:styleId="Lgende">
    <w:name w:val="caption"/>
    <w:basedOn w:val="Normal"/>
    <w:link w:val="LgendeCar"/>
    <w:qFormat/>
    <w:rsid w:val="00A520E4"/>
    <w:pPr>
      <w:spacing w:after="120"/>
      <w:jc w:val="center"/>
    </w:pPr>
    <w:rPr>
      <w:i/>
    </w:rPr>
  </w:style>
  <w:style w:type="paragraph" w:customStyle="1" w:styleId="Index">
    <w:name w:val="Index"/>
    <w:basedOn w:val="Normal"/>
    <w:qFormat/>
    <w:pPr>
      <w:suppressLineNumbers/>
    </w:pPr>
    <w:rPr>
      <w:rFonts w:cs="Arial"/>
    </w:rPr>
  </w:style>
  <w:style w:type="paragraph" w:customStyle="1" w:styleId="FirstParagraph">
    <w:name w:val="First Paragraph"/>
    <w:basedOn w:val="Corpsdetexte"/>
    <w:qFormat/>
    <w:rsid w:val="00E265C9"/>
  </w:style>
  <w:style w:type="paragraph" w:customStyle="1" w:styleId="Compact">
    <w:name w:val="Compact"/>
    <w:basedOn w:val="Normalcentr"/>
    <w:qFormat/>
    <w:rsid w:val="006027F5"/>
    <w:rPr>
      <w:sz w:val="20"/>
    </w:rPr>
  </w:style>
  <w:style w:type="paragraph" w:styleId="Sous-titre">
    <w:name w:val="Subtitle"/>
    <w:basedOn w:val="Titre"/>
    <w:qFormat/>
    <w:rsid w:val="00E265C9"/>
    <w:pPr>
      <w:spacing w:before="240"/>
    </w:pPr>
    <w:rPr>
      <w:sz w:val="28"/>
      <w:szCs w:val="30"/>
    </w:rPr>
  </w:style>
  <w:style w:type="paragraph" w:customStyle="1" w:styleId="Author">
    <w:name w:val="Author"/>
    <w:qFormat/>
    <w:rsid w:val="00313092"/>
    <w:pPr>
      <w:keepNext/>
      <w:keepLines/>
    </w:pPr>
    <w:rPr>
      <w:rFonts w:ascii="Arial" w:hAnsi="Arial" w:cs="Arial"/>
    </w:rPr>
  </w:style>
  <w:style w:type="paragraph" w:styleId="Date">
    <w:name w:val="Date"/>
    <w:qFormat/>
    <w:rsid w:val="00AE0446"/>
    <w:pPr>
      <w:keepNext/>
      <w:keepLines/>
    </w:pPr>
    <w:rPr>
      <w:rFonts w:ascii="Arial" w:hAnsi="Arial" w:cs="Arial"/>
    </w:rPr>
  </w:style>
  <w:style w:type="paragraph" w:customStyle="1" w:styleId="Abstract">
    <w:name w:val="Abstract"/>
    <w:basedOn w:val="Normal"/>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autoRedefine/>
    <w:uiPriority w:val="9"/>
    <w:unhideWhenUsed/>
    <w:qFormat/>
    <w:rsid w:val="000447BE"/>
    <w:pPr>
      <w:spacing w:line="240" w:lineRule="auto"/>
    </w:pPr>
    <w:rPr>
      <w:rFonts w:eastAsiaTheme="majorEastAsia" w:cstheme="majorBidi"/>
      <w:bCs/>
      <w:szCs w:val="20"/>
    </w:rPr>
  </w:style>
  <w:style w:type="paragraph" w:styleId="Notedebasdepage">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rsid w:val="005C78A4"/>
  </w:style>
  <w:style w:type="paragraph" w:customStyle="1" w:styleId="TableCaption">
    <w:name w:val="Table Caption"/>
    <w:basedOn w:val="Lgende"/>
    <w:qFormat/>
    <w:pPr>
      <w:keepNext/>
    </w:pPr>
  </w:style>
  <w:style w:type="paragraph" w:customStyle="1" w:styleId="ImageCaption">
    <w:name w:val="Image Caption"/>
    <w:basedOn w:val="Lgende"/>
    <w:qFormat/>
    <w:rsid w:val="00AE0446"/>
    <w:rPr>
      <w:rFonts w:ascii="Arial" w:hAnsi="Arial"/>
    </w:rPr>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En-ttedetabledesmatires">
    <w:name w:val="TOC Heading"/>
    <w:basedOn w:val="Titre1"/>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pPr>
      <w:shd w:val="clear" w:color="auto" w:fill="F8F8F8"/>
    </w:pPr>
  </w:style>
  <w:style w:type="character" w:customStyle="1" w:styleId="Titre7Car">
    <w:name w:val="Titre 7 Car"/>
    <w:basedOn w:val="Policepardfaut"/>
    <w:link w:val="Titre7"/>
    <w:semiHidden/>
    <w:rsid w:val="00AB5362"/>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semiHidden/>
    <w:rsid w:val="00AB536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semiHidden/>
    <w:rsid w:val="00AB5362"/>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rsid w:val="004706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B97AC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
    <w:name w:val="Table"/>
    <w:basedOn w:val="TableauNormal"/>
    <w:uiPriority w:val="99"/>
    <w:rsid w:val="00B97AC6"/>
    <w:pPr>
      <w:jc w:val="center"/>
    </w:pPr>
    <w:rPr>
      <w:rFonts w:ascii="Arial" w:hAnsi="Arial"/>
    </w:rPr>
    <w:tblPr>
      <w:tblBorders>
        <w:top w:val="single" w:sz="4" w:space="0" w:color="auto"/>
        <w:bottom w:val="single" w:sz="4" w:space="0" w:color="auto"/>
      </w:tblBorders>
    </w:tblPr>
  </w:style>
  <w:style w:type="paragraph" w:styleId="En-tte">
    <w:name w:val="header"/>
    <w:basedOn w:val="Normal"/>
    <w:link w:val="En-tteCar"/>
    <w:unhideWhenUsed/>
    <w:rsid w:val="00AC17AC"/>
    <w:pPr>
      <w:tabs>
        <w:tab w:val="center" w:pos="4536"/>
        <w:tab w:val="right" w:pos="9072"/>
      </w:tabs>
      <w:spacing w:after="0"/>
    </w:pPr>
  </w:style>
  <w:style w:type="character" w:customStyle="1" w:styleId="En-tteCar">
    <w:name w:val="En-tête Car"/>
    <w:basedOn w:val="Policepardfaut"/>
    <w:link w:val="En-tte"/>
    <w:rsid w:val="00AC17AC"/>
  </w:style>
  <w:style w:type="paragraph" w:styleId="Pieddepage">
    <w:name w:val="footer"/>
    <w:basedOn w:val="Normal"/>
    <w:link w:val="PieddepageCar"/>
    <w:uiPriority w:val="99"/>
    <w:unhideWhenUsed/>
    <w:rsid w:val="00AC17AC"/>
    <w:pPr>
      <w:tabs>
        <w:tab w:val="center" w:pos="4536"/>
        <w:tab w:val="right" w:pos="9072"/>
      </w:tabs>
      <w:spacing w:after="0"/>
    </w:pPr>
  </w:style>
  <w:style w:type="character" w:customStyle="1" w:styleId="PieddepageCar">
    <w:name w:val="Pied de page Car"/>
    <w:basedOn w:val="Policepardfaut"/>
    <w:link w:val="Pieddepage"/>
    <w:uiPriority w:val="99"/>
    <w:rsid w:val="00AC17AC"/>
  </w:style>
  <w:style w:type="table" w:styleId="Grilledetableauclaire">
    <w:name w:val="Grid Table Light"/>
    <w:basedOn w:val="TableauNormal"/>
    <w:uiPriority w:val="40"/>
    <w:rsid w:val="004112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D339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4">
    <w:name w:val="Plain Table 4"/>
    <w:basedOn w:val="TableauNormal"/>
    <w:uiPriority w:val="44"/>
    <w:rsid w:val="00D339F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1-pagebreak">
    <w:name w:val="h1-pagebreak"/>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3.xml" /><Relationship Id="rId11" Type="http://schemas.openxmlformats.org/officeDocument/2006/relationships/header" Target="header1.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hyperlink" Id="rId22" Target="https://besjournals.onlinelibrary.wiley.com/doi/full/10.1111/2041-210X.12793" TargetMode="External" /><Relationship Type="http://schemas.openxmlformats.org/officeDocument/2006/relationships/hyperlink" Id="rId42" Target="https://doi.org/10.1093/icesjms/fsac032" TargetMode="External" /><Relationship Type="http://schemas.openxmlformats.org/officeDocument/2006/relationships/hyperlink" Id="rId44" Target="https://doi.org/10.18142/23" TargetMode="External" /><Relationship Type="http://schemas.openxmlformats.org/officeDocument/2006/relationships/hyperlink" Id="rId48" Target="https://doi.org/10.18637/jss.v070.i05" TargetMode="External" /><Relationship Type="http://schemas.openxmlformats.org/officeDocument/2006/relationships/hyperlink" Id="rId21" Target="https://esajournals.onlinelibrary.wiley.com/doi/epdf/10.1002/ecy.2710" TargetMode="External" /><Relationship Type="http://schemas.openxmlformats.org/officeDocument/2006/relationships/hyperlink" Id="rId24" Target="https://www.sciencedirect.com/science/article/pii/S0006320721001993" TargetMode="External" /><Relationship Type="http://schemas.openxmlformats.org/officeDocument/2006/relationships/hyperlink" Id="rId23" Target="https://www.sciencedirect.com/science/article/pii/S0169534719302551#b0010" TargetMode="External" /><Relationship Type="http://schemas.openxmlformats.org/officeDocument/2006/relationships/hyperlink" Id="rId20" Target="mailto:my@email.com" TargetMode="External" /></Relationships>
</file>

<file path=word/_rels/footnotes.xml.rels><?xml version="1.0" encoding="UTF-8"?>
<Relationships xmlns="http://schemas.openxmlformats.org/package/2006/relationships"><Relationship Type="http://schemas.openxmlformats.org/officeDocument/2006/relationships/hyperlink" Id="rId22" Target="https://besjournals.onlinelibrary.wiley.com/doi/full/10.1111/2041-210X.12793" TargetMode="External" /><Relationship Type="http://schemas.openxmlformats.org/officeDocument/2006/relationships/hyperlink" Id="rId42" Target="https://doi.org/10.1093/icesjms/fsac032" TargetMode="External" /><Relationship Type="http://schemas.openxmlformats.org/officeDocument/2006/relationships/hyperlink" Id="rId44" Target="https://doi.org/10.18142/23" TargetMode="External" /><Relationship Type="http://schemas.openxmlformats.org/officeDocument/2006/relationships/hyperlink" Id="rId48" Target="https://doi.org/10.18637/jss.v070.i05" TargetMode="External" /><Relationship Type="http://schemas.openxmlformats.org/officeDocument/2006/relationships/hyperlink" Id="rId21" Target="https://esajournals.onlinelibrary.wiley.com/doi/epdf/10.1002/ecy.2710" TargetMode="External" /><Relationship Type="http://schemas.openxmlformats.org/officeDocument/2006/relationships/hyperlink" Id="rId24" Target="https://www.sciencedirect.com/science/article/pii/S0006320721001993" TargetMode="External" /><Relationship Type="http://schemas.openxmlformats.org/officeDocument/2006/relationships/hyperlink" Id="rId23" Target="https://www.sciencedirect.com/science/article/pii/S0169534719302551#b0010" TargetMode="External" /><Relationship Type="http://schemas.openxmlformats.org/officeDocument/2006/relationships/hyperlink" Id="rId20" Target="mailto:my@e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39</Pages>
  <Words>10232</Words>
  <Characters>56281</Characters>
  <Application>Microsoft Office Word</Application>
  <DocSecurity>0</DocSecurity>
  <Lines>469</Lines>
  <Paragraphs>132</Paragraphs>
  <ScaleCrop>false</ScaleCrop>
  <HeadingPairs>
    <vt:vector size="2" baseType="variant">
      <vt:variant>
        <vt:lpstr>Titre</vt:lpstr>
      </vt:variant>
      <vt:variant>
        <vt:i4>1</vt:i4>
      </vt:variant>
    </vt:vector>
  </HeadingPairs>
  <TitlesOfParts>
    <vt:vector size="1" baseType="lpstr">
      <vt:lpstr>Low dispersal of adults in a nursery-dependent fish metapopulation revealed by modeling mark-recovery data.</vt:lpstr>
    </vt:vector>
  </TitlesOfParts>
  <Company>Universitätsklinikum Leipzig AöR</Company>
  <LinksUpToDate>false</LinksUpToDate>
  <CharactersWithSpaces>66381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Going from coarse landings data to fine scale species distribution</dc:title>
  <dc:creator/>
  <cp:keywords/>
  <dcterms:created xsi:type="dcterms:W3CDTF">2022-03-29T14:50:18Z</dcterms:created>
  <dcterms:modified xsi:type="dcterms:W3CDTF">2022-03-29T14:50:18Z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Test</vt:lpwstr>
  </property>
  <property fmtid="{D5CDD505-2E9C-101B-9397-08002B2CF9AE}" pid="4" name="bibliography">
    <vt:lpwstr>paper_3.bib</vt:lpwstr>
  </property>
  <property fmtid="{D5CDD505-2E9C-101B-9397-08002B2CF9AE}" pid="5" name="classoption">
    <vt:lpwstr>man</vt:lpwstr>
  </property>
  <property fmtid="{D5CDD505-2E9C-101B-9397-08002B2CF9AE}" pid="6" name="csl">
    <vt:lpwstr>C:\Users\balglave\Documents\R\win-library\4.0\papaja\rmd\apa6.csl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yes</vt:lpwstr>
  </property>
  <property fmtid="{D5CDD505-2E9C-101B-9397-08002B2CF9AE}" pid="14" name="mask">
    <vt:lpwstr>no</vt:lpwstr>
  </property>
  <property fmtid="{D5CDD505-2E9C-101B-9397-08002B2CF9AE}" pid="15" name="output">
    <vt:lpwstr/>
  </property>
  <property fmtid="{D5CDD505-2E9C-101B-9397-08002B2CF9AE}" pid="16" name="tablelist">
    <vt:lpwstr>no</vt:lpwstr>
  </property>
  <property fmtid="{D5CDD505-2E9C-101B-9397-08002B2CF9AE}" pid="17" name="wordcount">
    <vt:lpwstr>X</vt:lpwstr>
  </property>
</Properties>
</file>