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2"/>
          <w:szCs w:val="22"/>
        </w:rPr>
        <w:t xml:space="preserve"/>
      </w:r>
    </w:p>
    <w:p>
      <w:r>
        <w:rPr>
          <w:sz w:val="22"/>
          <w:szCs w:val="22"/>
        </w:rPr>
        <w:t xml:space="preserve"/>
      </w:r>
    </w:p>
    <w:p>
      <w:r>
        <w:rPr>
          <w:sz w:val="22"/>
          <w:szCs w:val="22"/>
        </w:rPr>
        <w:t xml:space="preserve"/>
      </w:r>
    </w:p>
    <w:p>
      <w:pPr>
        <w:spacing w:after="120" w:before="0"/>
        <w:jc w:val="center"/>
      </w:pPr>
      <w:r>
        <w:rPr>
          <w:rFonts w:ascii="Arial" w:cs="Arial" w:eastAsia="Arial" w:hAnsi="Arial"/>
          <w:b/>
          <w:bCs/>
          <w:caps/>
          <w:color w:val="5D6D7E"/>
          <w:sz w:val="20"/>
          <w:szCs w:val="20"/>
        </w:rPr>
        <w:t xml:space="preserve">DÉPARTEMENT INTELLIGENCE ARTIFICIELLE</w:t>
      </w:r>
    </w:p>
    <w:p>
      <w:pPr>
        <w:spacing w:after="60" w:before="0"/>
        <w:jc w:val="center"/>
      </w:pPr>
      <w:r>
        <w:rPr>
          <w:rFonts w:ascii="Arial" w:cs="Arial" w:eastAsia="Arial" w:hAnsi="Arial"/>
          <w:color w:val="5D6D7E"/>
          <w:sz w:val="20"/>
          <w:szCs w:val="20"/>
        </w:rPr>
        <w:t xml:space="preserve">Analyse de Données Avancée avec Python  —  2025–2026</w:t>
      </w:r>
    </w:p>
    <w:p>
      <w:r>
        <w:rPr>
          <w:sz w:val="22"/>
          <w:szCs w:val="22"/>
        </w:rPr>
        <w:t xml:space="preserve"/>
      </w:r>
    </w:p>
    <w:p>
      <w:r>
        <w:rPr>
          <w:sz w:val="22"/>
          <w:szCs w:val="22"/>
        </w:rPr>
        <w:t xml:space="preserve"/>
      </w:r>
    </w:p>
    <w:p>
      <w:pPr>
        <w:pBdr>
          <w:bottom w:val="single" w:color="1B4F72" w:sz="8" w:space="4"/>
        </w:pBdr>
        <w:spacing w:after="240" w:before="0"/>
        <w:jc w:val="center"/>
      </w:pPr>
      <w:r>
        <w:rPr>
          <w:rFonts w:ascii="Arial" w:cs="Arial" w:eastAsia="Arial" w:hAnsi="Arial"/>
          <w:b/>
          <w:bCs/>
          <w:caps/>
          <w:color w:val="148F77"/>
          <w:sz w:val="24"/>
          <w:szCs w:val="24"/>
        </w:rPr>
        <w:t xml:space="preserve">PROJET 02</w:t>
      </w:r>
    </w:p>
    <w:p>
      <w:pPr>
        <w:spacing w:after="120" w:before="240"/>
        <w:jc w:val="center"/>
      </w:pPr>
      <w:r>
        <w:rPr>
          <w:rFonts w:ascii="Arial" w:cs="Arial" w:eastAsia="Arial" w:hAnsi="Arial"/>
          <w:b/>
          <w:bCs/>
          <w:color w:val="1B4F72"/>
          <w:sz w:val="52"/>
          <w:szCs w:val="52"/>
        </w:rPr>
        <w:t xml:space="preserve">Analyse Climatique &amp;</w:t>
      </w:r>
    </w:p>
    <w:p>
      <w:pPr>
        <w:spacing w:after="360" w:before="0"/>
        <w:jc w:val="center"/>
      </w:pPr>
      <w:r>
        <w:rPr>
          <w:rFonts w:ascii="Arial" w:cs="Arial" w:eastAsia="Arial" w:hAnsi="Arial"/>
          <w:b/>
          <w:bCs/>
          <w:color w:val="1B4F72"/>
          <w:sz w:val="52"/>
          <w:szCs w:val="52"/>
        </w:rPr>
        <w:t xml:space="preserve">Qualité de l'Air</w:t>
      </w:r>
    </w:p>
    <w:p>
      <w:pPr>
        <w:spacing w:after="480" w:before="0"/>
        <w:jc w:val="center"/>
      </w:pPr>
      <w:r>
        <w:rPr>
          <w:rFonts w:ascii="Arial" w:cs="Arial" w:eastAsia="Arial" w:hAnsi="Arial"/>
          <w:i/>
          <w:iCs/>
          <w:color w:val="5D6D7E"/>
          <w:sz w:val="22"/>
          <w:szCs w:val="22"/>
        </w:rPr>
        <w:t xml:space="preserve">Séries temporelles · Tendances environnementales · Prédiction de la pollution</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none" w:color="FFFFFF" w:sz="0"/>
              <w:left w:val="none" w:color="FFFFFF" w:sz="0"/>
              <w:bottom w:val="none" w:color="FFFFFF" w:sz="0"/>
              <w:right w:val="none" w:color="FFFFFF" w:sz="0"/>
            </w:tcBorders>
            <w:shd w:fill="1B4F72" w:val="clear"/>
            <w:tcMar>
              <w:top w:type="dxa" w:w="120"/>
              <w:left w:type="dxa" w:w="180"/>
              <w:bottom w:type="dxa" w:w="120"/>
              <w:right w:type="dxa" w:w="180"/>
            </w:tcMar>
          </w:tcPr>
          <w:p>
            <w:r>
              <w:rPr>
                <w:rFonts w:ascii="Arial" w:cs="Arial" w:eastAsia="Arial" w:hAnsi="Arial"/>
                <w:b/>
                <w:bCs/>
                <w:color w:val="FFFFFF"/>
                <w:sz w:val="20"/>
                <w:szCs w:val="20"/>
              </w:rPr>
              <w:t xml:space="preserve">Étudiante</w:t>
            </w:r>
          </w:p>
        </w:tc>
        <w:tc>
          <w:tcPr>
            <w:tcW w:type="dxa" w:w="4800"/>
            <w:tcBorders>
              <w:top w:val="none" w:color="FFFFFF" w:sz="0"/>
              <w:left w:val="none" w:color="FFFFFF" w:sz="0"/>
              <w:bottom w:val="none" w:color="FFFFFF" w:sz="0"/>
              <w:right w:val="none" w:color="FFFFFF" w:sz="0"/>
            </w:tcBorders>
            <w:shd w:fill="D6EAF8" w:val="clear"/>
            <w:tcMar>
              <w:top w:type="dxa" w:w="120"/>
              <w:left w:type="dxa" w:w="180"/>
              <w:bottom w:type="dxa" w:w="120"/>
              <w:right w:type="dxa" w:w="180"/>
            </w:tcMar>
          </w:tcPr>
          <w:p>
            <w:r>
              <w:rPr>
                <w:rFonts w:ascii="Arial" w:cs="Arial" w:eastAsia="Arial" w:hAnsi="Arial"/>
                <w:sz w:val="20"/>
                <w:szCs w:val="20"/>
              </w:rPr>
              <w:t xml:space="preserve">Marie Yahaya Abdou</w:t>
            </w:r>
          </w:p>
        </w:tc>
      </w:tr>
      <w:tr>
        <w:tc>
          <w:tcPr>
            <w:tcW w:type="dxa" w:w="2400"/>
            <w:tcBorders>
              <w:top w:val="none" w:color="FFFFFF" w:sz="0"/>
              <w:left w:val="none" w:color="FFFFFF" w:sz="0"/>
              <w:bottom w:val="none" w:color="FFFFFF" w:sz="0"/>
              <w:right w:val="none" w:color="FFFFFF" w:sz="0"/>
            </w:tcBorders>
            <w:shd w:fill="1B4F72" w:val="clear"/>
            <w:tcMar>
              <w:top w:type="dxa" w:w="120"/>
              <w:left w:type="dxa" w:w="180"/>
              <w:bottom w:type="dxa" w:w="120"/>
              <w:right w:type="dxa" w:w="180"/>
            </w:tcMar>
          </w:tcPr>
          <w:p>
            <w:r>
              <w:rPr>
                <w:rFonts w:ascii="Arial" w:cs="Arial" w:eastAsia="Arial" w:hAnsi="Arial"/>
                <w:b/>
                <w:bCs/>
                <w:color w:val="FFFFFF"/>
                <w:sz w:val="20"/>
                <w:szCs w:val="20"/>
              </w:rPr>
              <w:t xml:space="preserve">Établissement</w:t>
            </w:r>
          </w:p>
        </w:tc>
        <w:tc>
          <w:tcPr>
            <w:tcW w:type="dxa" w:w="4800"/>
            <w:tcBorders>
              <w:top w:val="none" w:color="FFFFFF" w:sz="0"/>
              <w:left w:val="none" w:color="FFFFFF" w:sz="0"/>
              <w:bottom w:val="none" w:color="FFFFFF" w:sz="0"/>
              <w:right w:val="none" w:color="FFFFFF" w:sz="0"/>
            </w:tcBorders>
            <w:shd w:fill="D6EAF8" w:val="clear"/>
            <w:tcMar>
              <w:top w:type="dxa" w:w="120"/>
              <w:left w:type="dxa" w:w="180"/>
              <w:bottom w:type="dxa" w:w="120"/>
              <w:right w:type="dxa" w:w="180"/>
            </w:tcMar>
          </w:tcPr>
          <w:p>
            <w:r>
              <w:rPr>
                <w:rFonts w:ascii="Arial" w:cs="Arial" w:eastAsia="Arial" w:hAnsi="Arial"/>
                <w:sz w:val="20"/>
                <w:szCs w:val="20"/>
              </w:rPr>
              <w:t xml:space="preserve">African Development Universalis (ADU)</w:t>
            </w:r>
          </w:p>
        </w:tc>
      </w:tr>
      <w:tr>
        <w:tc>
          <w:tcPr>
            <w:tcW w:type="dxa" w:w="2400"/>
            <w:tcBorders>
              <w:top w:val="none" w:color="FFFFFF" w:sz="0"/>
              <w:left w:val="none" w:color="FFFFFF" w:sz="0"/>
              <w:bottom w:val="none" w:color="FFFFFF" w:sz="0"/>
              <w:right w:val="none" w:color="FFFFFF" w:sz="0"/>
            </w:tcBorders>
            <w:shd w:fill="1B4F72" w:val="clear"/>
            <w:tcMar>
              <w:top w:type="dxa" w:w="120"/>
              <w:left w:type="dxa" w:w="180"/>
              <w:bottom w:type="dxa" w:w="120"/>
              <w:right w:type="dxa" w:w="180"/>
            </w:tcMar>
          </w:tcPr>
          <w:p>
            <w:r>
              <w:rPr>
                <w:rFonts w:ascii="Arial" w:cs="Arial" w:eastAsia="Arial" w:hAnsi="Arial"/>
                <w:b/>
                <w:bCs/>
                <w:color w:val="FFFFFF"/>
                <w:sz w:val="20"/>
                <w:szCs w:val="20"/>
              </w:rPr>
              <w:t xml:space="preserve">Dataset principal</w:t>
            </w:r>
          </w:p>
        </w:tc>
        <w:tc>
          <w:tcPr>
            <w:tcW w:type="dxa" w:w="4800"/>
            <w:tcBorders>
              <w:top w:val="none" w:color="FFFFFF" w:sz="0"/>
              <w:left w:val="none" w:color="FFFFFF" w:sz="0"/>
              <w:bottom w:val="none" w:color="FFFFFF" w:sz="0"/>
              <w:right w:val="none" w:color="FFFFFF" w:sz="0"/>
            </w:tcBorders>
            <w:shd w:fill="D6EAF8" w:val="clear"/>
            <w:tcMar>
              <w:top w:type="dxa" w:w="120"/>
              <w:left w:type="dxa" w:w="180"/>
              <w:bottom w:type="dxa" w:w="120"/>
              <w:right w:type="dxa" w:w="180"/>
            </w:tcMar>
          </w:tcPr>
          <w:p>
            <w:r>
              <w:rPr>
                <w:rFonts w:ascii="Arial" w:cs="Arial" w:eastAsia="Arial" w:hAnsi="Arial"/>
                <w:sz w:val="20"/>
                <w:szCs w:val="20"/>
              </w:rPr>
              <w:t xml:space="preserve">UCI Air Quality Dataset (Milan, 2004–2005)</w:t>
            </w:r>
          </w:p>
        </w:tc>
      </w:tr>
      <w:tr>
        <w:tc>
          <w:tcPr>
            <w:tcW w:type="dxa" w:w="2400"/>
            <w:tcBorders>
              <w:top w:val="none" w:color="FFFFFF" w:sz="0"/>
              <w:left w:val="none" w:color="FFFFFF" w:sz="0"/>
              <w:bottom w:val="none" w:color="FFFFFF" w:sz="0"/>
              <w:right w:val="none" w:color="FFFFFF" w:sz="0"/>
            </w:tcBorders>
            <w:shd w:fill="1B4F72" w:val="clear"/>
            <w:tcMar>
              <w:top w:type="dxa" w:w="120"/>
              <w:left w:type="dxa" w:w="180"/>
              <w:bottom w:type="dxa" w:w="120"/>
              <w:right w:type="dxa" w:w="180"/>
            </w:tcMar>
          </w:tcPr>
          <w:p>
            <w:r>
              <w:rPr>
                <w:rFonts w:ascii="Arial" w:cs="Arial" w:eastAsia="Arial" w:hAnsi="Arial"/>
                <w:b/>
                <w:bCs/>
                <w:color w:val="FFFFFF"/>
                <w:sz w:val="20"/>
                <w:szCs w:val="20"/>
              </w:rPr>
              <w:t xml:space="preserve">Dataset secondaire</w:t>
            </w:r>
          </w:p>
        </w:tc>
        <w:tc>
          <w:tcPr>
            <w:tcW w:type="dxa" w:w="4800"/>
            <w:tcBorders>
              <w:top w:val="none" w:color="FFFFFF" w:sz="0"/>
              <w:left w:val="none" w:color="FFFFFF" w:sz="0"/>
              <w:bottom w:val="none" w:color="FFFFFF" w:sz="0"/>
              <w:right w:val="none" w:color="FFFFFF" w:sz="0"/>
            </w:tcBorders>
            <w:shd w:fill="D6EAF8" w:val="clear"/>
            <w:tcMar>
              <w:top w:type="dxa" w:w="120"/>
              <w:left w:type="dxa" w:w="180"/>
              <w:bottom w:type="dxa" w:w="120"/>
              <w:right w:type="dxa" w:w="180"/>
            </w:tcMar>
          </w:tcPr>
          <w:p>
            <w:r>
              <w:rPr>
                <w:rFonts w:ascii="Arial" w:cs="Arial" w:eastAsia="Arial" w:hAnsi="Arial"/>
                <w:sz w:val="20"/>
                <w:szCs w:val="20"/>
              </w:rPr>
              <w:t xml:space="preserve">ERA5 via Open-Meteo (vent, pression, couche limite)</w:t>
            </w:r>
          </w:p>
        </w:tc>
      </w:tr>
      <w:tr>
        <w:tc>
          <w:tcPr>
            <w:tcW w:type="dxa" w:w="2400"/>
            <w:tcBorders>
              <w:top w:val="none" w:color="FFFFFF" w:sz="0"/>
              <w:left w:val="none" w:color="FFFFFF" w:sz="0"/>
              <w:bottom w:val="none" w:color="FFFFFF" w:sz="0"/>
              <w:right w:val="none" w:color="FFFFFF" w:sz="0"/>
            </w:tcBorders>
            <w:shd w:fill="1B4F72" w:val="clear"/>
            <w:tcMar>
              <w:top w:type="dxa" w:w="120"/>
              <w:left w:type="dxa" w:w="180"/>
              <w:bottom w:type="dxa" w:w="120"/>
              <w:right w:type="dxa" w:w="180"/>
            </w:tcMar>
          </w:tcPr>
          <w:p>
            <w:r>
              <w:rPr>
                <w:rFonts w:ascii="Arial" w:cs="Arial" w:eastAsia="Arial" w:hAnsi="Arial"/>
                <w:b/>
                <w:bCs/>
                <w:color w:val="FFFFFF"/>
                <w:sz w:val="20"/>
                <w:szCs w:val="20"/>
              </w:rPr>
              <w:t xml:space="preserve">Année académique</w:t>
            </w:r>
          </w:p>
        </w:tc>
        <w:tc>
          <w:tcPr>
            <w:tcW w:type="dxa" w:w="4800"/>
            <w:tcBorders>
              <w:top w:val="none" w:color="FFFFFF" w:sz="0"/>
              <w:left w:val="none" w:color="FFFFFF" w:sz="0"/>
              <w:bottom w:val="none" w:color="FFFFFF" w:sz="0"/>
              <w:right w:val="none" w:color="FFFFFF" w:sz="0"/>
            </w:tcBorders>
            <w:shd w:fill="D6EAF8" w:val="clear"/>
            <w:tcMar>
              <w:top w:type="dxa" w:w="120"/>
              <w:left w:type="dxa" w:w="180"/>
              <w:bottom w:type="dxa" w:w="120"/>
              <w:right w:type="dxa" w:w="180"/>
            </w:tcMar>
          </w:tcPr>
          <w:p>
            <w:r>
              <w:rPr>
                <w:rFonts w:ascii="Arial" w:cs="Arial" w:eastAsia="Arial" w:hAnsi="Arial"/>
                <w:sz w:val="20"/>
                <w:szCs w:val="20"/>
              </w:rPr>
              <w:t xml:space="preserve">2025–2026</w:t>
            </w:r>
          </w:p>
        </w:tc>
      </w:tr>
    </w:tbl>
    <w:p>
      <w:r>
        <w:br w:type="page"/>
      </w:r>
    </w:p>
    <w:p>
      <w:pPr>
        <w:pStyle w:val="Heading1"/>
        <w:spacing w:after="180" w:before="360"/>
      </w:pPr>
      <w:r>
        <w:rPr>
          <w:rFonts w:ascii="Arial" w:cs="Arial" w:eastAsia="Arial" w:hAnsi="Arial"/>
          <w:b/>
          <w:bCs/>
          <w:color w:val="1B4F72"/>
          <w:sz w:val="32"/>
          <w:szCs w:val="32"/>
        </w:rPr>
        <w:t xml:space="preserve">1. Introduction</w:t>
      </w:r>
    </w:p>
    <w:p>
      <w:pPr>
        <w:pStyle w:val="Heading2"/>
        <w:spacing w:after="120" w:before="240"/>
      </w:pPr>
      <w:r>
        <w:rPr>
          <w:rFonts w:ascii="Arial" w:cs="Arial" w:eastAsia="Arial" w:hAnsi="Arial"/>
          <w:b/>
          <w:bCs/>
          <w:color w:val="148F77"/>
          <w:sz w:val="26"/>
          <w:szCs w:val="26"/>
        </w:rPr>
        <w:t xml:space="preserve">1.1 Contexte et enjeux</w:t>
      </w:r>
    </w:p>
    <w:p>
      <w:pPr>
        <w:spacing w:after="120" w:before="60" w:line="320"/>
        <w:jc w:val="both"/>
      </w:pPr>
      <w:r>
        <w:rPr>
          <w:rFonts w:ascii="Arial" w:cs="Arial" w:eastAsia="Arial" w:hAnsi="Arial"/>
          <w:sz w:val="22"/>
          <w:szCs w:val="22"/>
        </w:rPr>
        <w:t xml:space="preserve">La pollution atmosphérique constitue l'un des risques environnementaux les plus graves de notre époque. Selon l'Organisation Mondiale de la Santé, elle est responsable de 7 millions de décès prématurés par an dans le monde, faisant d'elle la principale cause de mortalité environnementale. En Europe, les villes de la Plaine du Pô, parmi lesquelles Milan, figurent régulièrement parmi les zones les plus touchées du continent, en raison de leur géographie en cuvette qui piège les polluants émis par le trafic routier et les activités industrielles.</w:t>
      </w:r>
    </w:p>
    <w:p>
      <w:pPr>
        <w:spacing w:after="120" w:before="60" w:line="320"/>
        <w:jc w:val="both"/>
      </w:pPr>
      <w:r>
        <w:rPr>
          <w:rFonts w:ascii="Arial" w:cs="Arial" w:eastAsia="Arial" w:hAnsi="Arial"/>
          <w:sz w:val="22"/>
          <w:szCs w:val="22"/>
        </w:rPr>
        <w:t xml:space="preserve">Ce projet s'inscrit dans la continuité des efforts de surveillance et d'analyse de la qualité de l'air urbain. Il vise à exploiter des données réelles de capteurs atmosphériques pour identifier les sources de pollution, analyser les patterns temporels caractéristiques, construire un système d'alerte préventive, et développer des modèles prédictifs opérationnels. La combinaison de méthodes statistiques avancées et d'algorithmes de machine learning permet d'apporter des réponses quantifiées et vérifiables aux cinq questions de recherche définies dans le cadre du projet.</w:t>
      </w:r>
    </w:p>
    <w:p>
      <w:pPr>
        <w:pStyle w:val="Heading2"/>
        <w:spacing w:after="120" w:before="240"/>
      </w:pPr>
      <w:r>
        <w:rPr>
          <w:rFonts w:ascii="Arial" w:cs="Arial" w:eastAsia="Arial" w:hAnsi="Arial"/>
          <w:b/>
          <w:bCs/>
          <w:color w:val="148F77"/>
          <w:sz w:val="26"/>
          <w:szCs w:val="26"/>
        </w:rPr>
        <w:t xml:space="preserve">1.2 Objectifs</w:t>
      </w:r>
    </w:p>
    <w:p>
      <w:pPr>
        <w:spacing w:after="120" w:before="60" w:line="320"/>
        <w:jc w:val="both"/>
      </w:pPr>
      <w:r>
        <w:rPr>
          <w:rFonts w:ascii="Arial" w:cs="Arial" w:eastAsia="Arial" w:hAnsi="Arial"/>
          <w:sz w:val="22"/>
          <w:szCs w:val="22"/>
        </w:rPr>
        <w:t xml:space="preserve">Les objectifs du projet sont structurés autour de cinq axes complémentaires.</w:t>
      </w:r>
    </w:p>
    <w:p>
      <w:pPr>
        <w:pStyle w:val="ListParagraph"/>
        <w:numPr>
          <w:ilvl w:val="0"/>
          <w:numId w:val="2"/>
        </w:numPr>
        <w:spacing w:after="40" w:before="40"/>
      </w:pPr>
      <w:r>
        <w:rPr>
          <w:rFonts w:ascii="Arial" w:cs="Arial" w:eastAsia="Arial" w:hAnsi="Arial"/>
          <w:sz w:val="22"/>
          <w:szCs w:val="22"/>
        </w:rPr>
        <w:t xml:space="preserve">Identifier les polluants les plus corrélés entre eux et déterminer leurs sources communes.</w:t>
      </w:r>
    </w:p>
    <w:p>
      <w:pPr>
        <w:pStyle w:val="ListParagraph"/>
        <w:numPr>
          <w:ilvl w:val="0"/>
          <w:numId w:val="2"/>
        </w:numPr>
        <w:spacing w:after="40" w:before="40"/>
      </w:pPr>
      <w:r>
        <w:rPr>
          <w:rFonts w:ascii="Arial" w:cs="Arial" w:eastAsia="Arial" w:hAnsi="Arial"/>
          <w:sz w:val="22"/>
          <w:szCs w:val="22"/>
        </w:rPr>
        <w:t xml:space="preserve">Analyser les tendances temporelles de la qualité de l'air sur la période disponible.</w:t>
      </w:r>
    </w:p>
    <w:p>
      <w:pPr>
        <w:pStyle w:val="ListParagraph"/>
        <w:numPr>
          <w:ilvl w:val="0"/>
          <w:numId w:val="2"/>
        </w:numPr>
        <w:spacing w:after="40" w:before="40"/>
      </w:pPr>
      <w:r>
        <w:rPr>
          <w:rFonts w:ascii="Arial" w:cs="Arial" w:eastAsia="Arial" w:hAnsi="Arial"/>
          <w:sz w:val="22"/>
          <w:szCs w:val="22"/>
        </w:rPr>
        <w:t xml:space="preserve">Déterminer le facteur météorologique le plus déterminant pour l'accumulation des polluants.</w:t>
      </w:r>
    </w:p>
    <w:p>
      <w:pPr>
        <w:pStyle w:val="ListParagraph"/>
        <w:numPr>
          <w:ilvl w:val="0"/>
          <w:numId w:val="2"/>
        </w:numPr>
        <w:spacing w:after="40" w:before="40"/>
      </w:pPr>
      <w:r>
        <w:rPr>
          <w:rFonts w:ascii="Arial" w:cs="Arial" w:eastAsia="Arial" w:hAnsi="Arial"/>
          <w:sz w:val="22"/>
          <w:szCs w:val="22"/>
        </w:rPr>
        <w:t xml:space="preserve">Construire un modèle prédictif capable de prévoir les épisodes de pollution à 6 heures d'avance.</w:t>
      </w:r>
    </w:p>
    <w:p>
      <w:pPr>
        <w:pStyle w:val="ListParagraph"/>
        <w:numPr>
          <w:ilvl w:val="0"/>
          <w:numId w:val="2"/>
        </w:numPr>
        <w:spacing w:after="40" w:before="40"/>
      </w:pPr>
      <w:r>
        <w:rPr>
          <w:rFonts w:ascii="Arial" w:cs="Arial" w:eastAsia="Arial" w:hAnsi="Arial"/>
          <w:sz w:val="22"/>
          <w:szCs w:val="22"/>
        </w:rPr>
        <w:t xml:space="preserve">Quantifier les dépassements des seuils recommandés par l'OMS et leur répartition temporelle.</w:t>
      </w:r>
    </w:p>
    <w:p>
      <w:pPr>
        <w:pStyle w:val="Heading2"/>
        <w:spacing w:after="120" w:before="240"/>
      </w:pPr>
      <w:r>
        <w:rPr>
          <w:rFonts w:ascii="Arial" w:cs="Arial" w:eastAsia="Arial" w:hAnsi="Arial"/>
          <w:b/>
          <w:bCs/>
          <w:color w:val="148F77"/>
          <w:sz w:val="26"/>
          <w:szCs w:val="26"/>
        </w:rPr>
        <w:t xml:space="preserve">1.3 Description des datasets</w:t>
      </w:r>
    </w:p>
    <w:p>
      <w:pPr>
        <w:spacing w:after="120" w:before="60" w:line="320"/>
        <w:jc w:val="both"/>
      </w:pPr>
      <w:r>
        <w:rPr>
          <w:rFonts w:ascii="Arial" w:cs="Arial" w:eastAsia="Arial" w:hAnsi="Arial"/>
          <w:sz w:val="22"/>
          <w:szCs w:val="22"/>
        </w:rPr>
        <w:t xml:space="preserve">Deux sources de données ont été utilisées dans ce projet.</w:t>
      </w:r>
    </w:p>
    <w:p>
      <w:pPr>
        <w:spacing w:after="120" w:before="60" w:line="320"/>
        <w:jc w:val="both"/>
      </w:pPr>
      <w:r>
        <w:rPr>
          <w:rFonts w:ascii="Arial" w:cs="Arial" w:eastAsia="Arial" w:hAnsi="Arial"/>
          <w:sz w:val="22"/>
          <w:szCs w:val="22"/>
        </w:rPr>
        <w:t xml:space="preserve">Le premier dataset est l'UCI Air Quality Dataset, fourni directement dans le cadre du module. Il contient des mesures horaires collectées par un dispositif multi-capteurs déployé dans une zone urbaine de Milan, en Italie, entre mars 2004 et février 2005, soit 13 mois de données continues. Le dataset original comprend 9 471 lignes et 17 colonnes.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26"/>
        <w:gridCol w:w="1500"/>
        <w:gridCol w:w="1500"/>
      </w:tblGrid>
      <w:tr>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Variable</w:t>
            </w:r>
          </w:p>
        </w:tc>
        <w:tc>
          <w:tcPr>
            <w:tcW w:type="dxa" w:w="40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1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Unité</w:t>
            </w:r>
          </w:p>
        </w:tc>
        <w:tc>
          <w:tcPr>
            <w:tcW w:type="dxa" w:w="1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Problème connu</w:t>
            </w:r>
          </w:p>
        </w:tc>
      </w:tr>
      <w:tr>
        <w:tc>
          <w:tcPr>
            <w:tcW w:type="dxa" w:w="20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left"/>
            </w:pPr>
            <w:r>
              <w:rPr>
                <w:rFonts w:ascii="Arial" w:cs="Arial" w:eastAsia="Arial" w:hAnsi="Arial"/>
                <w:b/>
                <w:bCs/>
                <w:color w:val="1B4F72"/>
                <w:sz w:val="20"/>
                <w:szCs w:val="20"/>
              </w:rPr>
              <w:t xml:space="preserve">CO(GT)</w:t>
            </w:r>
          </w:p>
        </w:tc>
        <w:tc>
          <w:tcPr>
            <w:tcW w:type="dxa" w:w="4026"/>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left"/>
            </w:pPr>
            <w:r>
              <w:rPr>
                <w:rFonts w:ascii="Arial" w:cs="Arial" w:eastAsia="Arial" w:hAnsi="Arial"/>
                <w:b w:val="false"/>
                <w:bCs w:val="false"/>
                <w:color w:val="1B4F72"/>
                <w:sz w:val="20"/>
                <w:szCs w:val="20"/>
              </w:rPr>
              <w:t xml:space="preserve">Monoxyde de carbone</w:t>
            </w:r>
          </w:p>
        </w:tc>
        <w:tc>
          <w:tcPr>
            <w:tcW w:type="dxa" w:w="15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left"/>
            </w:pPr>
            <w:r>
              <w:rPr>
                <w:rFonts w:ascii="Arial" w:cs="Arial" w:eastAsia="Arial" w:hAnsi="Arial"/>
                <w:b w:val="false"/>
                <w:bCs w:val="false"/>
                <w:color w:val="1B4F72"/>
                <w:sz w:val="20"/>
                <w:szCs w:val="20"/>
              </w:rPr>
              <w:t xml:space="preserve">mg/m³</w:t>
            </w:r>
          </w:p>
        </w:tc>
        <w:tc>
          <w:tcPr>
            <w:tcW w:type="dxa" w:w="15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left"/>
            </w:pPr>
            <w:r>
              <w:rPr>
                <w:rFonts w:ascii="Arial" w:cs="Arial" w:eastAsia="Arial" w:hAnsi="Arial"/>
                <w:b w:val="false"/>
                <w:bCs w:val="false"/>
                <w:color w:val="1B4F72"/>
                <w:sz w:val="20"/>
                <w:szCs w:val="20"/>
              </w:rPr>
              <w:t xml:space="preserve">Valeurs -200</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C6H6(GT)</w:t>
            </w:r>
          </w:p>
        </w:tc>
        <w:tc>
          <w:tcPr>
            <w:tcW w:type="dxa" w:w="40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Benzène</w:t>
            </w:r>
          </w:p>
        </w:tc>
        <w:tc>
          <w:tcPr>
            <w:tcW w:type="dxa" w:w="1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µg/m³</w:t>
            </w:r>
          </w:p>
        </w:tc>
        <w:tc>
          <w:tcPr>
            <w:tcW w:type="dxa" w:w="1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Valeurs -200</w:t>
            </w:r>
          </w:p>
        </w:tc>
      </w:tr>
      <w:tr>
        <w:tc>
          <w:tcPr>
            <w:tcW w:type="dxa" w:w="20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left"/>
            </w:pPr>
            <w:r>
              <w:rPr>
                <w:rFonts w:ascii="Arial" w:cs="Arial" w:eastAsia="Arial" w:hAnsi="Arial"/>
                <w:b/>
                <w:bCs/>
                <w:color w:val="1B4F72"/>
                <w:sz w:val="20"/>
                <w:szCs w:val="20"/>
              </w:rPr>
              <w:t xml:space="preserve">NOx(GT)</w:t>
            </w:r>
          </w:p>
        </w:tc>
        <w:tc>
          <w:tcPr>
            <w:tcW w:type="dxa" w:w="4026"/>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left"/>
            </w:pPr>
            <w:r>
              <w:rPr>
                <w:rFonts w:ascii="Arial" w:cs="Arial" w:eastAsia="Arial" w:hAnsi="Arial"/>
                <w:b w:val="false"/>
                <w:bCs w:val="false"/>
                <w:color w:val="1B4F72"/>
                <w:sz w:val="20"/>
                <w:szCs w:val="20"/>
              </w:rPr>
              <w:t xml:space="preserve">Oxydes d'azote</w:t>
            </w:r>
          </w:p>
        </w:tc>
        <w:tc>
          <w:tcPr>
            <w:tcW w:type="dxa" w:w="15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left"/>
            </w:pPr>
            <w:r>
              <w:rPr>
                <w:rFonts w:ascii="Arial" w:cs="Arial" w:eastAsia="Arial" w:hAnsi="Arial"/>
                <w:b w:val="false"/>
                <w:bCs w:val="false"/>
                <w:color w:val="1B4F72"/>
                <w:sz w:val="20"/>
                <w:szCs w:val="20"/>
              </w:rPr>
              <w:t xml:space="preserve">ppb</w:t>
            </w:r>
          </w:p>
        </w:tc>
        <w:tc>
          <w:tcPr>
            <w:tcW w:type="dxa" w:w="15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left"/>
            </w:pPr>
            <w:r>
              <w:rPr>
                <w:rFonts w:ascii="Arial" w:cs="Arial" w:eastAsia="Arial" w:hAnsi="Arial"/>
                <w:b w:val="false"/>
                <w:bCs w:val="false"/>
                <w:color w:val="1B4F72"/>
                <w:sz w:val="20"/>
                <w:szCs w:val="20"/>
              </w:rPr>
              <w:t xml:space="preserve">Valeurs -200</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NO2(GT)</w:t>
            </w:r>
          </w:p>
        </w:tc>
        <w:tc>
          <w:tcPr>
            <w:tcW w:type="dxa" w:w="40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Dioxyde d'azote (variable cible principale)</w:t>
            </w:r>
          </w:p>
        </w:tc>
        <w:tc>
          <w:tcPr>
            <w:tcW w:type="dxa" w:w="1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µg/m³</w:t>
            </w:r>
          </w:p>
        </w:tc>
        <w:tc>
          <w:tcPr>
            <w:tcW w:type="dxa" w:w="1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Valeurs -200</w:t>
            </w:r>
          </w:p>
        </w:tc>
      </w:tr>
      <w:tr>
        <w:tc>
          <w:tcPr>
            <w:tcW w:type="dxa" w:w="20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left"/>
            </w:pPr>
            <w:r>
              <w:rPr>
                <w:rFonts w:ascii="Arial" w:cs="Arial" w:eastAsia="Arial" w:hAnsi="Arial"/>
                <w:b/>
                <w:bCs/>
                <w:color w:val="1B4F72"/>
                <w:sz w:val="20"/>
                <w:szCs w:val="20"/>
              </w:rPr>
              <w:t xml:space="preserve">T</w:t>
            </w:r>
          </w:p>
        </w:tc>
        <w:tc>
          <w:tcPr>
            <w:tcW w:type="dxa" w:w="4026"/>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left"/>
            </w:pPr>
            <w:r>
              <w:rPr>
                <w:rFonts w:ascii="Arial" w:cs="Arial" w:eastAsia="Arial" w:hAnsi="Arial"/>
                <w:b w:val="false"/>
                <w:bCs w:val="false"/>
                <w:color w:val="1B4F72"/>
                <w:sz w:val="20"/>
                <w:szCs w:val="20"/>
              </w:rPr>
              <w:t xml:space="preserve">Température</w:t>
            </w:r>
          </w:p>
        </w:tc>
        <w:tc>
          <w:tcPr>
            <w:tcW w:type="dxa" w:w="15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left"/>
            </w:pPr>
            <w:r>
              <w:rPr>
                <w:rFonts w:ascii="Arial" w:cs="Arial" w:eastAsia="Arial" w:hAnsi="Arial"/>
                <w:b w:val="false"/>
                <w:bCs w:val="false"/>
                <w:color w:val="1B4F72"/>
                <w:sz w:val="20"/>
                <w:szCs w:val="20"/>
              </w:rPr>
              <w:t xml:space="preserve">°C</w:t>
            </w:r>
          </w:p>
        </w:tc>
        <w:tc>
          <w:tcPr>
            <w:tcW w:type="dxa" w:w="15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left"/>
            </w:pPr>
            <w:r>
              <w:rPr>
                <w:rFonts w:ascii="Arial" w:cs="Arial" w:eastAsia="Arial" w:hAnsi="Arial"/>
                <w:b w:val="false"/>
                <w:bCs w:val="false"/>
                <w:color w:val="1B4F72"/>
                <w:sz w:val="20"/>
                <w:szCs w:val="20"/>
              </w:rPr>
              <w:t xml:space="preserve">Valeurs -200</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RH</w:t>
            </w:r>
          </w:p>
        </w:tc>
        <w:tc>
          <w:tcPr>
            <w:tcW w:type="dxa" w:w="40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Humidité relative</w:t>
            </w:r>
          </w:p>
        </w:tc>
        <w:tc>
          <w:tcPr>
            <w:tcW w:type="dxa" w:w="1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c>
          <w:tcPr>
            <w:tcW w:type="dxa" w:w="1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Valeurs -200</w:t>
            </w:r>
          </w:p>
        </w:tc>
      </w:tr>
      <w:tr>
        <w:tc>
          <w:tcPr>
            <w:tcW w:type="dxa" w:w="20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left"/>
            </w:pPr>
            <w:r>
              <w:rPr>
                <w:rFonts w:ascii="Arial" w:cs="Arial" w:eastAsia="Arial" w:hAnsi="Arial"/>
                <w:b/>
                <w:bCs/>
                <w:color w:val="1B4F72"/>
                <w:sz w:val="20"/>
                <w:szCs w:val="20"/>
              </w:rPr>
              <w:t xml:space="preserve">NMHC(GT)</w:t>
            </w:r>
          </w:p>
        </w:tc>
        <w:tc>
          <w:tcPr>
            <w:tcW w:type="dxa" w:w="4026"/>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left"/>
            </w:pPr>
            <w:r>
              <w:rPr>
                <w:rFonts w:ascii="Arial" w:cs="Arial" w:eastAsia="Arial" w:hAnsi="Arial"/>
                <w:b w:val="false"/>
                <w:bCs w:val="false"/>
                <w:color w:val="1B4F72"/>
                <w:sz w:val="20"/>
                <w:szCs w:val="20"/>
              </w:rPr>
              <w:t xml:space="preserve">Hydrocarbures non méthaniques (supprimée)</w:t>
            </w:r>
          </w:p>
        </w:tc>
        <w:tc>
          <w:tcPr>
            <w:tcW w:type="dxa" w:w="15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left"/>
            </w:pPr>
            <w:r>
              <w:rPr>
                <w:rFonts w:ascii="Arial" w:cs="Arial" w:eastAsia="Arial" w:hAnsi="Arial"/>
                <w:b w:val="false"/>
                <w:bCs w:val="false"/>
                <w:color w:val="1B4F72"/>
                <w:sz w:val="20"/>
                <w:szCs w:val="20"/>
              </w:rPr>
              <w:t xml:space="preserve">ppb</w:t>
            </w:r>
          </w:p>
        </w:tc>
        <w:tc>
          <w:tcPr>
            <w:tcW w:type="dxa" w:w="15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left"/>
            </w:pPr>
            <w:r>
              <w:rPr>
                <w:rFonts w:ascii="Arial" w:cs="Arial" w:eastAsia="Arial" w:hAnsi="Arial"/>
                <w:b w:val="false"/>
                <w:bCs w:val="false"/>
                <w:color w:val="1B4F72"/>
                <w:sz w:val="20"/>
                <w:szCs w:val="20"/>
              </w:rPr>
              <w:t xml:space="preserve">90% manquant</w:t>
            </w:r>
          </w:p>
        </w:tc>
      </w:tr>
    </w:tbl>
    <w:p>
      <w:r>
        <w:rPr>
          <w:sz w:val="22"/>
          <w:szCs w:val="22"/>
        </w:rPr>
        <w:t xml:space="preserve"/>
      </w:r>
    </w:p>
    <w:p>
      <w:pPr>
        <w:spacing w:after="120" w:before="60" w:line="320"/>
        <w:jc w:val="both"/>
      </w:pPr>
      <w:r>
        <w:rPr>
          <w:rFonts w:ascii="Arial" w:cs="Arial" w:eastAsia="Arial" w:hAnsi="Arial"/>
          <w:sz w:val="22"/>
          <w:szCs w:val="22"/>
        </w:rPr>
        <w:t xml:space="preserve">Le second dataset est issu du service ERA5 de Copernicus, accessible gratuitement via l'API Open-Meteo sans inscription. Il couvre la même période géographique et temporelle que le dataset UCI, pour les coordonnées de la station de Milan (45.4654°N, 9.1859°E). Il fournit cinq variables météorologiques complémentaires : la vitesse du vent, la direction du vent, les précipitations, la pression atmosphérique de surface, et la hauteur de la couche limite atmosphérique. Cette dernière variable, absente du dataset UCI, est physiquement essentielle pour expliquer l'accumulation des polluants.</w:t>
      </w:r>
    </w:p>
    <w:p>
      <w:r>
        <w:br w:type="page"/>
      </w:r>
    </w:p>
    <w:p>
      <w:pPr>
        <w:pStyle w:val="Heading1"/>
        <w:spacing w:after="180" w:before="360"/>
      </w:pPr>
      <w:r>
        <w:rPr>
          <w:rFonts w:ascii="Arial" w:cs="Arial" w:eastAsia="Arial" w:hAnsi="Arial"/>
          <w:b/>
          <w:bCs/>
          <w:color w:val="1B4F72"/>
          <w:sz w:val="32"/>
          <w:szCs w:val="32"/>
        </w:rPr>
        <w:t xml:space="preserve">2. Méthodologie</w:t>
      </w:r>
    </w:p>
    <w:p>
      <w:pPr>
        <w:pStyle w:val="Heading2"/>
        <w:spacing w:after="120" w:before="240"/>
      </w:pPr>
      <w:r>
        <w:rPr>
          <w:rFonts w:ascii="Arial" w:cs="Arial" w:eastAsia="Arial" w:hAnsi="Arial"/>
          <w:b/>
          <w:bCs/>
          <w:color w:val="148F77"/>
          <w:sz w:val="26"/>
          <w:szCs w:val="26"/>
        </w:rPr>
        <w:t xml:space="preserve">2.1 Nettoyage des données</w:t>
      </w:r>
    </w:p>
    <w:p>
      <w:pPr>
        <w:spacing w:after="120" w:before="60" w:line="320"/>
        <w:jc w:val="both"/>
      </w:pPr>
      <w:r>
        <w:rPr>
          <w:rFonts w:ascii="Arial" w:cs="Arial" w:eastAsia="Arial" w:hAnsi="Arial"/>
          <w:sz w:val="22"/>
          <w:szCs w:val="22"/>
        </w:rPr>
        <w:t xml:space="preserve">Le nettoyage du dataset UCI a nécessité six étapes successives, chacune justifiée par une observation empirique sur les données brutes.</w:t>
      </w:r>
    </w:p>
    <w:p>
      <w:pPr>
        <w:spacing w:after="120" w:before="60" w:line="320"/>
        <w:jc w:val="both"/>
      </w:pPr>
      <w:r>
        <w:rPr>
          <w:rFonts w:ascii="Arial" w:cs="Arial" w:eastAsia="Arial" w:hAnsi="Arial"/>
          <w:b/>
          <w:bCs/>
          <w:sz w:val="22"/>
          <w:szCs w:val="22"/>
        </w:rPr>
        <w:t xml:space="preserve">Suppression des colonnes vides.</w:t>
      </w:r>
      <w:r>
        <w:rPr>
          <w:rFonts w:ascii="Arial" w:cs="Arial" w:eastAsia="Arial" w:hAnsi="Arial"/>
          <w:sz w:val="22"/>
          <w:szCs w:val="22"/>
        </w:rPr>
        <w:t xml:space="preserve"> Les colonnes Unnamed: 15 et Unnamed: 16 sont des artefacts du format CSV d'origine, ne contenant aucune donnée utile.</w:t>
      </w:r>
    </w:p>
    <w:p>
      <w:pPr>
        <w:spacing w:after="120" w:before="60" w:line="320"/>
        <w:jc w:val="both"/>
      </w:pPr>
      <w:r>
        <w:rPr>
          <w:rFonts w:ascii="Arial" w:cs="Arial" w:eastAsia="Arial" w:hAnsi="Arial"/>
          <w:b/>
          <w:bCs/>
          <w:sz w:val="22"/>
          <w:szCs w:val="22"/>
        </w:rPr>
        <w:t xml:space="preserve">Conversion de l'index temporel.</w:t>
      </w:r>
      <w:r>
        <w:rPr>
          <w:rFonts w:ascii="Arial" w:cs="Arial" w:eastAsia="Arial" w:hAnsi="Arial"/>
          <w:sz w:val="22"/>
          <w:szCs w:val="22"/>
        </w:rPr>
        <w:t xml:space="preserve"> Les colonnes Date et Time, stockées en texte brut, ont été fusionnées puis converties en objet datetime Python avec un format explicite (%d-%m-%Y %H:%M:%S). Ce format précis est obligatoire pour éviter toute confusion entre le jour et le mois sur les dates ambiguës. La colonne résultante a été définie comme index du DataFrame, rendant disponibles les fonctions d'agrégation temporelle telles que resample().</w:t>
      </w:r>
    </w:p>
    <w:p>
      <w:pPr>
        <w:spacing w:after="120" w:before="60" w:line="320"/>
        <w:jc w:val="both"/>
      </w:pPr>
      <w:r>
        <w:rPr>
          <w:rFonts w:ascii="Arial" w:cs="Arial" w:eastAsia="Arial" w:hAnsi="Arial"/>
          <w:b/>
          <w:bCs/>
          <w:sz w:val="22"/>
          <w:szCs w:val="22"/>
        </w:rPr>
        <w:t xml:space="preserve">Tri chronologique.</w:t>
      </w:r>
      <w:r>
        <w:rPr>
          <w:rFonts w:ascii="Arial" w:cs="Arial" w:eastAsia="Arial" w:hAnsi="Arial"/>
          <w:sz w:val="22"/>
          <w:szCs w:val="22"/>
        </w:rPr>
        <w:t xml:space="preserve"> Le tri par index est indispensable pour garantir que les calculs de lag (décalage temporel) utilisés plus tard dans la modélisation correspondent bien aux heures précédentes et non à des lignes arbitraires.</w:t>
      </w:r>
    </w:p>
    <w:p>
      <w:pPr>
        <w:spacing w:after="120" w:before="60" w:line="320"/>
        <w:jc w:val="both"/>
      </w:pPr>
      <w:r>
        <w:rPr>
          <w:rFonts w:ascii="Arial" w:cs="Arial" w:eastAsia="Arial" w:hAnsi="Arial"/>
          <w:b/>
          <w:bCs/>
          <w:sz w:val="22"/>
          <w:szCs w:val="22"/>
        </w:rPr>
        <w:t xml:space="preserve">Traitement des valeurs manquantes.</w:t>
      </w:r>
      <w:r>
        <w:rPr>
          <w:rFonts w:ascii="Arial" w:cs="Arial" w:eastAsia="Arial" w:hAnsi="Arial"/>
          <w:sz w:val="22"/>
          <w:szCs w:val="22"/>
        </w:rPr>
        <w:t xml:space="preserve"> Le capteur code ses pannes et périodes d'indisponibilité avec la valeur -200, qui n'est pas un NaN standard. Toutes les occurrences de -200 ont été remplacées par np.nan avant tout calcul statistique, afin d'éviter des distorsions sur les moyennes, écarts-types et corrélations.</w:t>
      </w:r>
    </w:p>
    <w:p>
      <w:pPr>
        <w:spacing w:after="120" w:before="60" w:line="320"/>
        <w:jc w:val="both"/>
      </w:pPr>
      <w:r>
        <w:rPr>
          <w:rFonts w:ascii="Arial" w:cs="Arial" w:eastAsia="Arial" w:hAnsi="Arial"/>
          <w:b/>
          <w:bCs/>
          <w:sz w:val="22"/>
          <w:szCs w:val="22"/>
        </w:rPr>
        <w:t xml:space="preserve">Suppression de NMHC(GT).</w:t>
      </w:r>
      <w:r>
        <w:rPr>
          <w:rFonts w:ascii="Arial" w:cs="Arial" w:eastAsia="Arial" w:hAnsi="Arial"/>
          <w:sz w:val="22"/>
          <w:szCs w:val="22"/>
        </w:rPr>
        <w:t xml:space="preserve"> Cette colonne présentait plus de 90% de valeurs manquantes après remplacement des -200. Toute imputation d'une colonne à ce niveau de vacuité relèverait de l'invention de données et non de la reconstruction statistique.</w:t>
      </w:r>
    </w:p>
    <w:p>
      <w:pPr>
        <w:spacing w:after="120" w:before="60" w:line="320"/>
        <w:jc w:val="both"/>
      </w:pPr>
      <w:r>
        <w:rPr>
          <w:rFonts w:ascii="Arial" w:cs="Arial" w:eastAsia="Arial" w:hAnsi="Arial"/>
          <w:b/>
          <w:bCs/>
          <w:sz w:val="22"/>
          <w:szCs w:val="22"/>
        </w:rPr>
        <w:t xml:space="preserve">Interpolation linéaire.</w:t>
      </w:r>
      <w:r>
        <w:rPr>
          <w:rFonts w:ascii="Arial" w:cs="Arial" w:eastAsia="Arial" w:hAnsi="Arial"/>
          <w:sz w:val="22"/>
          <w:szCs w:val="22"/>
        </w:rPr>
        <w:t xml:space="preserve"> Les valeurs manquantes résiduelles ont été comblées par interpolation linéaire entre la dernière valeur valide et la prochaine. Ce choix est préférable à la médiane globale dans le contexte d'une série temporelle horaire, où la pollution évolue de manière continue et progressive. Le résultat final est un dataset de 9 357 lignes et 12 colonnes, sans aucune valeur manquante.</w:t>
      </w:r>
    </w:p>
    <w:p>
      <w:pPr>
        <w:pStyle w:val="Heading2"/>
        <w:spacing w:after="120" w:before="240"/>
      </w:pPr>
      <w:r>
        <w:rPr>
          <w:rFonts w:ascii="Arial" w:cs="Arial" w:eastAsia="Arial" w:hAnsi="Arial"/>
          <w:b/>
          <w:bCs/>
          <w:color w:val="148F77"/>
          <w:sz w:val="26"/>
          <w:szCs w:val="26"/>
        </w:rPr>
        <w:t xml:space="preserve">2.2 Analyse exploratoire (EDA)</w:t>
      </w:r>
    </w:p>
    <w:p>
      <w:pPr>
        <w:spacing w:after="120" w:before="60" w:line="320"/>
        <w:jc w:val="both"/>
      </w:pPr>
      <w:r>
        <w:rPr>
          <w:rFonts w:ascii="Arial" w:cs="Arial" w:eastAsia="Arial" w:hAnsi="Arial"/>
          <w:sz w:val="22"/>
          <w:szCs w:val="22"/>
        </w:rPr>
        <w:t xml:space="preserve">L'analyse exploratoire a mobilisé trois niveaux d'analyse complémentaires : les distributions univariées, les corrélations bivariées, et les patterns temporels multidimensionnels.</w:t>
      </w:r>
    </w:p>
    <w:p>
      <w:pPr>
        <w:spacing w:after="120" w:before="60" w:line="320"/>
        <w:jc w:val="both"/>
      </w:pPr>
      <w:r>
        <w:rPr>
          <w:rFonts w:ascii="Arial" w:cs="Arial" w:eastAsia="Arial" w:hAnsi="Arial"/>
          <w:sz w:val="22"/>
          <w:szCs w:val="22"/>
        </w:rPr>
        <w:t xml:space="preserve">Les distributions ont été examinées à travers des histogrammes interactifs (Plotly) pour les quatre polluants principaux. Les corrélations de Pearson ont été calculées entre toutes les paires de variables numériques et visualisées sous forme de heatmap. L'évolution temporelle a été analysée selon trois granularités : mensuelle (resample), horaire (groupby heure), et saisonnière (pd.cut sur le mois).</w:t>
      </w:r>
    </w:p>
    <w:p>
      <w:pPr>
        <w:pStyle w:val="Heading2"/>
        <w:spacing w:after="120" w:before="240"/>
      </w:pPr>
      <w:r>
        <w:rPr>
          <w:rFonts w:ascii="Arial" w:cs="Arial" w:eastAsia="Arial" w:hAnsi="Arial"/>
          <w:b/>
          <w:bCs/>
          <w:color w:val="148F77"/>
          <w:sz w:val="26"/>
          <w:szCs w:val="26"/>
        </w:rPr>
        <w:t xml:space="preserve">2.3 Analyses statistiques inférentielles</w:t>
      </w:r>
    </w:p>
    <w:p>
      <w:pPr>
        <w:spacing w:after="120" w:before="60" w:line="320"/>
        <w:jc w:val="both"/>
      </w:pPr>
      <w:r>
        <w:rPr>
          <w:rFonts w:ascii="Arial" w:cs="Arial" w:eastAsia="Arial" w:hAnsi="Arial"/>
          <w:sz w:val="22"/>
          <w:szCs w:val="22"/>
        </w:rPr>
        <w:t xml:space="preserve">Un test t de Student à deux échantillons indépendants a été appliqué pour comparer les concentrations de NO2 entre les jours de semaine et les jours de week-end (scipy.stats.ttest_ind). Ce test vérifie si la différence observée entre les deux groupes est statistiquement significative ou simplement due à la variabilité aléatoire. Le seuil de significativité retenu est p &lt; 0.05, conforme aux standards en sciences des données.</w:t>
      </w:r>
    </w:p>
    <w:p>
      <w:pPr>
        <w:pStyle w:val="Heading2"/>
        <w:spacing w:after="120" w:before="240"/>
      </w:pPr>
      <w:r>
        <w:rPr>
          <w:rFonts w:ascii="Arial" w:cs="Arial" w:eastAsia="Arial" w:hAnsi="Arial"/>
          <w:b/>
          <w:bCs/>
          <w:color w:val="148F77"/>
          <w:sz w:val="26"/>
          <w:szCs w:val="26"/>
        </w:rPr>
        <w:t xml:space="preserve">2.4 Système d'alerte préventive</w:t>
      </w:r>
    </w:p>
    <w:p>
      <w:pPr>
        <w:spacing w:after="120" w:before="60" w:line="320"/>
        <w:jc w:val="both"/>
      </w:pPr>
      <w:r>
        <w:rPr>
          <w:rFonts w:ascii="Arial" w:cs="Arial" w:eastAsia="Arial" w:hAnsi="Arial"/>
          <w:sz w:val="22"/>
          <w:szCs w:val="22"/>
        </w:rPr>
        <w:t xml:space="preserve">Le système d'alerte a été construit à partir des données sans paramétrage manuel. La fonction shift(-3) a permis de créer une variable cible binaire indiquant si le NO2 dépasserait 150 µg/m³ dans les 3 heures suivantes. Les conditions météorologiques moyennes observées 3 heures avant un pic ont ensuite été extraites automatiquement par groupby, définissant les deux seuils de déclenchement de l'alerte. Les performances ont été évaluées par la précision (proportion d'alertes justifiées) et le rappel (proportion de pics détectés).</w:t>
      </w:r>
    </w:p>
    <w:p>
      <w:pPr>
        <w:pStyle w:val="Heading2"/>
        <w:spacing w:after="120" w:before="240"/>
      </w:pPr>
      <w:r>
        <w:rPr>
          <w:rFonts w:ascii="Arial" w:cs="Arial" w:eastAsia="Arial" w:hAnsi="Arial"/>
          <w:b/>
          <w:bCs/>
          <w:color w:val="148F77"/>
          <w:sz w:val="26"/>
          <w:szCs w:val="26"/>
        </w:rPr>
        <w:t xml:space="preserve">2.5 Modélisation prédictive</w:t>
      </w:r>
    </w:p>
    <w:p>
      <w:pPr>
        <w:spacing w:after="120" w:before="60" w:line="320"/>
        <w:jc w:val="both"/>
      </w:pPr>
      <w:r>
        <w:rPr>
          <w:rFonts w:ascii="Arial" w:cs="Arial" w:eastAsia="Arial" w:hAnsi="Arial"/>
          <w:sz w:val="22"/>
          <w:szCs w:val="22"/>
        </w:rPr>
        <w:t xml:space="preserve">La prédiction du NO2 à 6 heures d'avance a nécessité un feature engineering spécifique aux séries temporelles. Deux types de features ont été créés : des features contextuelles (heure du jour, jour de la semaine, mois) et des features de lag (valeur du NO2 1 heure avant et 6 heures avant). Le split d'entraînement et de test a été réalisé chronologiquement, les 80% de données les plus anciennes servant à l'entraînement et les 20% les plus récentes au test. Ce choix est fondamental dans le traitement des séries temporelles : un split aléatoire permettrait au modèle d'utiliser des données futures pour prédire le passé, produisant des performances artificiellement élevées. Quatre configurations ont été comparées : Régression Linéaire sans ERA5, Régression Linéaire avec ERA5, Random Forest sans ERA5, et Random Forest avec ERA5.</w:t>
      </w:r>
    </w:p>
    <w:p>
      <w:r>
        <w:br w:type="page"/>
      </w:r>
    </w:p>
    <w:p>
      <w:pPr>
        <w:pStyle w:val="Heading1"/>
        <w:spacing w:after="180" w:before="360"/>
      </w:pPr>
      <w:r>
        <w:rPr>
          <w:rFonts w:ascii="Arial" w:cs="Arial" w:eastAsia="Arial" w:hAnsi="Arial"/>
          <w:b/>
          <w:bCs/>
          <w:color w:val="1B4F72"/>
          <w:sz w:val="32"/>
          <w:szCs w:val="32"/>
        </w:rPr>
        <w:t xml:space="preserve">3. Résultats</w:t>
      </w:r>
    </w:p>
    <w:p>
      <w:pPr>
        <w:pStyle w:val="Heading2"/>
        <w:spacing w:after="120" w:before="240"/>
      </w:pPr>
      <w:r>
        <w:rPr>
          <w:rFonts w:ascii="Arial" w:cs="Arial" w:eastAsia="Arial" w:hAnsi="Arial"/>
          <w:b/>
          <w:bCs/>
          <w:color w:val="148F77"/>
          <w:sz w:val="26"/>
          <w:szCs w:val="26"/>
        </w:rPr>
        <w:t xml:space="preserve">3.1 Q1 — Polluants les plus corrélés et sources communes</w:t>
      </w:r>
    </w:p>
    <w:p>
      <w:pPr>
        <w:spacing w:after="120" w:before="60" w:line="320"/>
        <w:jc w:val="both"/>
      </w:pPr>
      <w:r>
        <w:rPr>
          <w:rFonts w:ascii="Arial" w:cs="Arial" w:eastAsia="Arial" w:hAnsi="Arial"/>
          <w:sz w:val="22"/>
          <w:szCs w:val="22"/>
        </w:rPr>
        <w:t xml:space="preserve">La matrice de corrélation de Pearson révèle trois paires de polluants fortement corrélées entre elles.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Paire de polluants</w:t>
            </w:r>
          </w:p>
        </w:tc>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Coefficient r</w:t>
            </w:r>
          </w:p>
        </w:tc>
        <w:tc>
          <w:tcPr>
            <w:tcW w:type="dxa" w:w="40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Interprétation</w:t>
            </w:r>
          </w:p>
        </w:tc>
      </w:tr>
      <w:tr>
        <w:tc>
          <w:tcPr>
            <w:tcW w:type="dxa" w:w="25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left"/>
            </w:pPr>
            <w:r>
              <w:rPr>
                <w:rFonts w:ascii="Arial" w:cs="Arial" w:eastAsia="Arial" w:hAnsi="Arial"/>
                <w:b/>
                <w:bCs/>
                <w:color w:val="1B4F72"/>
                <w:sz w:val="20"/>
                <w:szCs w:val="20"/>
              </w:rPr>
              <w:t xml:space="preserve">CO / C6H6</w:t>
            </w:r>
          </w:p>
        </w:tc>
        <w:tc>
          <w:tcPr>
            <w:tcW w:type="dxa" w:w="25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center"/>
            </w:pPr>
            <w:r>
              <w:rPr>
                <w:rFonts w:ascii="Arial" w:cs="Arial" w:eastAsia="Arial" w:hAnsi="Arial"/>
                <w:b/>
                <w:bCs/>
                <w:color w:val="1B4F72"/>
                <w:sz w:val="20"/>
                <w:szCs w:val="20"/>
              </w:rPr>
              <w:t xml:space="preserve">0.82</w:t>
            </w:r>
          </w:p>
        </w:tc>
        <w:tc>
          <w:tcPr>
            <w:tcW w:type="dxa" w:w="4026"/>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left"/>
            </w:pPr>
            <w:r>
              <w:rPr>
                <w:rFonts w:ascii="Arial" w:cs="Arial" w:eastAsia="Arial" w:hAnsi="Arial"/>
                <w:b w:val="false"/>
                <w:bCs w:val="false"/>
                <w:color w:val="1B4F72"/>
                <w:sz w:val="20"/>
                <w:szCs w:val="20"/>
              </w:rPr>
              <w:t xml:space="preserve">Combustion des moteurs à essence. Les deux polluants montent ensemble lors des hausses de trafic.</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 / NOx</w:t>
            </w:r>
          </w:p>
        </w:tc>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0.79</w:t>
            </w:r>
          </w:p>
        </w:tc>
        <w:tc>
          <w:tcPr>
            <w:tcW w:type="dxa" w:w="40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Même source commune. CO, NOx et C6H6 forment un groupe indissociable caractéristique du trafic routier.</w:t>
            </w:r>
          </w:p>
        </w:tc>
      </w:tr>
      <w:tr>
        <w:tc>
          <w:tcPr>
            <w:tcW w:type="dxa" w:w="25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left"/>
            </w:pPr>
            <w:r>
              <w:rPr>
                <w:rFonts w:ascii="Arial" w:cs="Arial" w:eastAsia="Arial" w:hAnsi="Arial"/>
                <w:b/>
                <w:bCs/>
                <w:color w:val="1B4F72"/>
                <w:sz w:val="20"/>
                <w:szCs w:val="20"/>
              </w:rPr>
              <w:t xml:space="preserve">NOx / NO2</w:t>
            </w:r>
          </w:p>
        </w:tc>
        <w:tc>
          <w:tcPr>
            <w:tcW w:type="dxa" w:w="25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center"/>
            </w:pPr>
            <w:r>
              <w:rPr>
                <w:rFonts w:ascii="Arial" w:cs="Arial" w:eastAsia="Arial" w:hAnsi="Arial"/>
                <w:b w:val="false"/>
                <w:bCs w:val="false"/>
                <w:color w:val="1B4F72"/>
                <w:sz w:val="20"/>
                <w:szCs w:val="20"/>
              </w:rPr>
              <w:t xml:space="preserve">0.76</w:t>
            </w:r>
          </w:p>
        </w:tc>
        <w:tc>
          <w:tcPr>
            <w:tcW w:type="dxa" w:w="4026"/>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left"/>
            </w:pPr>
            <w:r>
              <w:rPr>
                <w:rFonts w:ascii="Arial" w:cs="Arial" w:eastAsia="Arial" w:hAnsi="Arial"/>
                <w:b w:val="false"/>
                <w:bCs w:val="false"/>
                <w:color w:val="1B4F72"/>
                <w:sz w:val="20"/>
                <w:szCs w:val="20"/>
              </w:rPr>
              <w:t xml:space="preserve">Le NO2 se forme par oxydation atmosphérique du NOx. Relation chimique documentée.</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 / NOx</w:t>
            </w:r>
          </w:p>
        </w:tc>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-0.25</w:t>
            </w:r>
          </w:p>
        </w:tc>
        <w:tc>
          <w:tcPr>
            <w:tcW w:type="dxa" w:w="40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Corrélation négative. La chaleur élève la couche limite atmosphérique et améliore la dispersion des polluants.</w:t>
            </w:r>
          </w:p>
        </w:tc>
      </w:tr>
    </w:tbl>
    <w:p>
      <w:r>
        <w:rPr>
          <w:sz w:val="22"/>
          <w:szCs w:val="22"/>
        </w:rPr>
        <w:t xml:space="preserve"/>
      </w:r>
    </w:p>
    <w:p>
      <w:pPr>
        <w:spacing w:after="120" w:before="60" w:line="320"/>
        <w:jc w:val="both"/>
      </w:pPr>
      <w:r>
        <w:rPr>
          <w:rFonts w:ascii="Arial" w:cs="Arial" w:eastAsia="Arial" w:hAnsi="Arial"/>
          <w:sz w:val="22"/>
          <w:szCs w:val="22"/>
        </w:rPr>
        <w:t xml:space="preserve">Ces résultats convergent vers une conclusion univoque : le trafic routier est la source de pollution dominante à Milan sur la période étudiée. L'existence d'un groupe fortement corrélé formé par CO, NOx et C6H6 exclut toute hypothèse de sources multiples indépendantes pour ces trois polluants.</w:t>
      </w:r>
    </w:p>
    <w:p>
      <w:pPr>
        <w:pStyle w:val="Heading2"/>
        <w:spacing w:after="120" w:before="240"/>
      </w:pPr>
      <w:r>
        <w:rPr>
          <w:rFonts w:ascii="Arial" w:cs="Arial" w:eastAsia="Arial" w:hAnsi="Arial"/>
          <w:b/>
          <w:bCs/>
          <w:color w:val="148F77"/>
          <w:sz w:val="26"/>
          <w:szCs w:val="26"/>
        </w:rPr>
        <w:t xml:space="preserve">3.2 Q2 — Tendance à long terme dans la qualité de l'air</w:t>
      </w:r>
    </w:p>
    <w:p>
      <w:pPr>
        <w:spacing w:after="120" w:before="60" w:line="320"/>
        <w:jc w:val="both"/>
      </w:pPr>
      <w:r>
        <w:rPr>
          <w:rFonts w:ascii="Arial" w:cs="Arial" w:eastAsia="Arial" w:hAnsi="Arial"/>
          <w:sz w:val="22"/>
          <w:szCs w:val="22"/>
        </w:rPr>
        <w:t xml:space="preserve">Sur les 13 mois disponibles, aucune tendance structurelle d'amélioration ou de dégradation ne peut être établie de façon concluante. Le NO2 moyen en hiver 2005 (158 µg/m³ en février) est supérieur à celui de mars 2004 (120 µg/m³), mais cet écart s'explique intégralement par l'effet saisonnier et non par une évolution structurelle. L'analyse mensuelle met en évidence une saisonnalité très marquée, avec un NO2 moyen de 134 µg/m³ en hiver contre 92 µg/m³ en été, soit un écart de 46%. Les NOx présentent un pic particulièrement élevé en automne (120 µg/m³), attribué à la reprise du trafic post-vacances dans des conditions atmosphériques qui commencent à se dégrader. Un historique pluriannuel de 3 à 5 ans minimum serait nécessaire pour distinguer une tendance de long terme d'une variabilité saisonnière.</w:t>
      </w:r>
    </w:p>
    <w:p>
      <w:pPr>
        <w:pStyle w:val="Heading2"/>
        <w:spacing w:after="120" w:before="240"/>
      </w:pPr>
      <w:r>
        <w:rPr>
          <w:rFonts w:ascii="Arial" w:cs="Arial" w:eastAsia="Arial" w:hAnsi="Arial"/>
          <w:b/>
          <w:bCs/>
          <w:color w:val="148F77"/>
          <w:sz w:val="26"/>
          <w:szCs w:val="26"/>
        </w:rPr>
        <w:t xml:space="preserve">3.3 Q3 — Facteur météorologique le plus déterminant pour les pics de pollution</w:t>
      </w:r>
    </w:p>
    <w:p>
      <w:pPr>
        <w:spacing w:after="120" w:before="60" w:line="320"/>
        <w:jc w:val="both"/>
      </w:pPr>
      <w:r>
        <w:rPr>
          <w:rFonts w:ascii="Arial" w:cs="Arial" w:eastAsia="Arial" w:hAnsi="Arial"/>
          <w:sz w:val="22"/>
          <w:szCs w:val="22"/>
        </w:rPr>
        <w:t xml:space="preserve">L'analyse a été conduite à deux niveaux, en exploitant successivement les données UCI et les données ERA5.</w:t>
      </w:r>
    </w:p>
    <w:p>
      <w:pPr>
        <w:spacing w:after="120" w:before="60" w:line="320"/>
        <w:jc w:val="both"/>
      </w:pPr>
      <w:r>
        <w:rPr>
          <w:rFonts w:ascii="Arial" w:cs="Arial" w:eastAsia="Arial" w:hAnsi="Arial"/>
          <w:sz w:val="22"/>
          <w:szCs w:val="22"/>
        </w:rPr>
        <w:t xml:space="preserve">Avec les seules variables UCI, la température présente la corrélation la plus forte avec le NO2 (r = -0.19). Tous les épisodes critiques avec NO2 &gt; 200 µg/m³ surviennent en dessous de 20°C. La comparaison des conditions météo lors des heures de pic (NO2 &gt; 150 µg/m³) versus les heures normales montre une différence de 4°C (15.0°C lors des pics, 18.9°C en conditions normales).</w:t>
      </w:r>
    </w:p>
    <w:p>
      <w:pPr>
        <w:spacing w:after="120" w:before="60" w:line="320"/>
        <w:jc w:val="both"/>
      </w:pPr>
      <w:r>
        <w:rPr>
          <w:rFonts w:ascii="Arial" w:cs="Arial" w:eastAsia="Arial" w:hAnsi="Arial"/>
          <w:sz w:val="22"/>
          <w:szCs w:val="22"/>
        </w:rPr>
        <w:t xml:space="preserve">L'intégration des données ERA5 via Open-Meteo affine considérablement cette réponse. La hauteur de la couche limite atmosphérique (boundary_layer_height) ressort comme le facteur le plus corrélé avec le NO2 parmi toutes les variables ERA5. Ce résultat est physiquement cohérent : lorsque la couche limite est basse, les polluants émis en surface ne peuvent pas se diluer verticalement et s'accumulent au niveau du sol. Les anticyclones hivernaux, qui abaissent simultanément la température et la couche limite, créent ainsi les conditions optimales pour les épisodes de pollution les plus intenses.</w:t>
      </w:r>
    </w:p>
    <w:p>
      <w:pPr>
        <w:pStyle w:val="Heading2"/>
        <w:spacing w:after="120" w:before="240"/>
      </w:pPr>
      <w:r>
        <w:rPr>
          <w:rFonts w:ascii="Arial" w:cs="Arial" w:eastAsia="Arial" w:hAnsi="Arial"/>
          <w:b/>
          <w:bCs/>
          <w:color w:val="148F77"/>
          <w:sz w:val="26"/>
          <w:szCs w:val="26"/>
        </w:rPr>
        <w:t xml:space="preserve">3.4 Effets du trafic sur la qualité de l'air</w:t>
      </w:r>
    </w:p>
    <w:p>
      <w:pPr>
        <w:spacing w:after="120" w:before="60" w:line="320"/>
        <w:jc w:val="both"/>
      </w:pPr>
      <w:r>
        <w:rPr>
          <w:rFonts w:ascii="Arial" w:cs="Arial" w:eastAsia="Arial" w:hAnsi="Arial"/>
          <w:sz w:val="22"/>
          <w:szCs w:val="22"/>
        </w:rPr>
        <w:t xml:space="preserve">La comparaison entre les différentes catégories de jours révèle une hiérarchie parfaitement ordonnée selon l'intensité du trafic routier.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176"/>
        <w:gridCol w:w="2176"/>
        <w:gridCol w:w="2174"/>
      </w:tblGrid>
      <w:tr>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Catégorie</w:t>
            </w:r>
          </w:p>
        </w:tc>
        <w:tc>
          <w:tcPr>
            <w:tcW w:type="dxa" w:w="217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NO2 moyen (µg/m³)</w:t>
            </w:r>
          </w:p>
        </w:tc>
        <w:tc>
          <w:tcPr>
            <w:tcW w:type="dxa" w:w="217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 moyen (mg/m³)</w:t>
            </w:r>
          </w:p>
        </w:tc>
        <w:tc>
          <w:tcPr>
            <w:tcW w:type="dxa" w:w="2174"/>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NOx moyen (ppb)</w:t>
            </w:r>
          </w:p>
        </w:tc>
      </w:tr>
      <w:tr>
        <w:tc>
          <w:tcPr>
            <w:tcW w:type="dxa" w:w="25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left"/>
            </w:pPr>
            <w:r>
              <w:rPr>
                <w:rFonts w:ascii="Arial" w:cs="Arial" w:eastAsia="Arial" w:hAnsi="Arial"/>
                <w:b/>
                <w:bCs/>
                <w:color w:val="1B4F72"/>
                <w:sz w:val="20"/>
                <w:szCs w:val="20"/>
              </w:rPr>
              <w:t xml:space="preserve">Jours de semaine</w:t>
            </w:r>
          </w:p>
        </w:tc>
        <w:tc>
          <w:tcPr>
            <w:tcW w:type="dxa" w:w="2176"/>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center"/>
            </w:pPr>
            <w:r>
              <w:rPr>
                <w:rFonts w:ascii="Arial" w:cs="Arial" w:eastAsia="Arial" w:hAnsi="Arial"/>
                <w:b w:val="false"/>
                <w:bCs w:val="false"/>
                <w:color w:val="1B4F72"/>
                <w:sz w:val="20"/>
                <w:szCs w:val="20"/>
              </w:rPr>
              <w:t xml:space="preserve">114.6</w:t>
            </w:r>
          </w:p>
        </w:tc>
        <w:tc>
          <w:tcPr>
            <w:tcW w:type="dxa" w:w="2176"/>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center"/>
            </w:pPr>
            <w:r>
              <w:rPr>
                <w:rFonts w:ascii="Arial" w:cs="Arial" w:eastAsia="Arial" w:hAnsi="Arial"/>
                <w:b w:val="false"/>
                <w:bCs w:val="false"/>
                <w:color w:val="1B4F72"/>
                <w:sz w:val="20"/>
                <w:szCs w:val="20"/>
              </w:rPr>
              <w:t xml:space="preserve">2.28</w:t>
            </w:r>
          </w:p>
        </w:tc>
        <w:tc>
          <w:tcPr>
            <w:tcW w:type="dxa" w:w="2174"/>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center"/>
            </w:pPr>
            <w:r>
              <w:rPr>
                <w:rFonts w:ascii="Arial" w:cs="Arial" w:eastAsia="Arial" w:hAnsi="Arial"/>
                <w:b w:val="false"/>
                <w:bCs w:val="false"/>
                <w:color w:val="1B4F72"/>
                <w:sz w:val="20"/>
                <w:szCs w:val="20"/>
              </w:rPr>
              <w:t xml:space="preserve">256.4</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Week-end</w:t>
            </w:r>
          </w:p>
        </w:tc>
        <w:tc>
          <w:tcPr>
            <w:tcW w:type="dxa" w:w="217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98.9</w:t>
            </w:r>
          </w:p>
        </w:tc>
        <w:tc>
          <w:tcPr>
            <w:tcW w:type="dxa" w:w="217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1.87</w:t>
            </w:r>
          </w:p>
        </w:tc>
        <w:tc>
          <w:tcPr>
            <w:tcW w:type="dxa" w:w="2174"/>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210.3</w:t>
            </w:r>
          </w:p>
        </w:tc>
      </w:tr>
      <w:tr>
        <w:tc>
          <w:tcPr>
            <w:tcW w:type="dxa" w:w="25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left"/>
            </w:pPr>
            <w:r>
              <w:rPr>
                <w:rFonts w:ascii="Arial" w:cs="Arial" w:eastAsia="Arial" w:hAnsi="Arial"/>
                <w:b/>
                <w:bCs/>
                <w:color w:val="1B4F72"/>
                <w:sz w:val="20"/>
                <w:szCs w:val="20"/>
              </w:rPr>
              <w:t xml:space="preserve">Jours fériés</w:t>
            </w:r>
          </w:p>
        </w:tc>
        <w:tc>
          <w:tcPr>
            <w:tcW w:type="dxa" w:w="2176"/>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center"/>
            </w:pPr>
            <w:r>
              <w:rPr>
                <w:rFonts w:ascii="Arial" w:cs="Arial" w:eastAsia="Arial" w:hAnsi="Arial"/>
                <w:b w:val="false"/>
                <w:bCs w:val="false"/>
                <w:color w:val="1B4F72"/>
                <w:sz w:val="20"/>
                <w:szCs w:val="20"/>
              </w:rPr>
              <w:t xml:space="preserve">89.2</w:t>
            </w:r>
          </w:p>
        </w:tc>
        <w:tc>
          <w:tcPr>
            <w:tcW w:type="dxa" w:w="2176"/>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center"/>
            </w:pPr>
            <w:r>
              <w:rPr>
                <w:rFonts w:ascii="Arial" w:cs="Arial" w:eastAsia="Arial" w:hAnsi="Arial"/>
                <w:b w:val="false"/>
                <w:bCs w:val="false"/>
                <w:color w:val="1B4F72"/>
                <w:sz w:val="20"/>
                <w:szCs w:val="20"/>
              </w:rPr>
              <w:t xml:space="preserve">1.72</w:t>
            </w:r>
          </w:p>
        </w:tc>
        <w:tc>
          <w:tcPr>
            <w:tcW w:type="dxa" w:w="2174"/>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center"/>
            </w:pPr>
            <w:r>
              <w:rPr>
                <w:rFonts w:ascii="Arial" w:cs="Arial" w:eastAsia="Arial" w:hAnsi="Arial"/>
                <w:b w:val="false"/>
                <w:bCs w:val="false"/>
                <w:color w:val="1B4F72"/>
                <w:sz w:val="20"/>
                <w:szCs w:val="20"/>
              </w:rPr>
              <w:t xml:space="preserve">198.6</w:t>
            </w:r>
          </w:p>
        </w:tc>
      </w:tr>
    </w:tbl>
    <w:p>
      <w:r>
        <w:rPr>
          <w:sz w:val="22"/>
          <w:szCs w:val="22"/>
        </w:rPr>
        <w:t xml:space="preserve"/>
      </w:r>
    </w:p>
    <w:p>
      <w:pPr>
        <w:spacing w:after="120" w:before="60" w:line="320"/>
        <w:jc w:val="both"/>
      </w:pPr>
      <w:r>
        <w:rPr>
          <w:rFonts w:ascii="Arial" w:cs="Arial" w:eastAsia="Arial" w:hAnsi="Arial"/>
          <w:sz w:val="22"/>
          <w:szCs w:val="22"/>
        </w:rPr>
        <w:t xml:space="preserve">Le test t de Student confirme que la différence entre semaine et week-end est statistiquement significative (t = 14.57, p &lt; 0.0001). Cette p-value quasi nulle signifie qu'il y a moins d'une chance sur 10 000 que cette différence soit due au hasard. Les 12 jours fériés italiens de la période ont été identifiés et catégorisés séparément, révélant un niveau de pollution encore plus bas que le week-end, cohérent avec l'arrêt quasi-total des déplacements pendulaires.</w:t>
      </w:r>
    </w:p>
    <w:p>
      <w:pPr>
        <w:spacing w:after="120" w:before="60" w:line="320"/>
        <w:jc w:val="both"/>
      </w:pPr>
      <w:r>
        <w:rPr>
          <w:rFonts w:ascii="Arial" w:cs="Arial" w:eastAsia="Arial" w:hAnsi="Arial"/>
          <w:sz w:val="22"/>
          <w:szCs w:val="22"/>
        </w:rPr>
        <w:t xml:space="preserve">L'analyse du profil horaire complète cette démonstration. Les concentrations de NO2 suivent une forme en double bosse caractéristique du trafic pendulaire urbain : un premier pic à 8h-9h (déplacements domicile vers travail) et un second pic plus élevé à 18h-19h (retour du travail avec accumulation de la journée). Le creux nocturne entre 2h et 5h représente la valeur de référence en l'absence de trafic.</w:t>
      </w:r>
    </w:p>
    <w:p>
      <w:pPr>
        <w:pStyle w:val="Heading2"/>
        <w:spacing w:after="120" w:before="240"/>
      </w:pPr>
      <w:r>
        <w:rPr>
          <w:rFonts w:ascii="Arial" w:cs="Arial" w:eastAsia="Arial" w:hAnsi="Arial"/>
          <w:b/>
          <w:bCs/>
          <w:color w:val="148F77"/>
          <w:sz w:val="26"/>
          <w:szCs w:val="26"/>
        </w:rPr>
        <w:t xml:space="preserve">3.5 Seuils OMS et jours dangereux</w:t>
      </w:r>
    </w:p>
    <w:p>
      <w:pPr>
        <w:spacing w:after="120" w:before="60" w:line="320"/>
        <w:jc w:val="both"/>
      </w:pPr>
      <w:r>
        <w:rPr>
          <w:rFonts w:ascii="Arial" w:cs="Arial" w:eastAsia="Arial" w:hAnsi="Arial"/>
          <w:sz w:val="22"/>
          <w:szCs w:val="22"/>
        </w:rPr>
        <w:t xml:space="preserve">Le seuil OMS pour le dioxyde d'azote est fixé à 200 µg/m³ en valeur horaire. Note méthodologique : le document de projet demandait une analyse par rapport au seuil de 15 µg/m³ de PM2.5. Le dataset UCI ne mesurant pas le PM2.5 directement, l'analyse a été adaptée avec le seuil OMS correspondant pour le NO2, qui est le polluant équivalent disponible dans le dataset.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Indicateur</w:t>
            </w:r>
          </w:p>
        </w:tc>
        <w:tc>
          <w:tcPr>
            <w:tcW w:type="dxa" w:w="4513"/>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Valeur</w:t>
            </w:r>
          </w:p>
        </w:tc>
      </w:tr>
      <w:tr>
        <w:tc>
          <w:tcPr>
            <w:tcW w:type="dxa" w:w="4513"/>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left"/>
            </w:pPr>
            <w:r>
              <w:rPr>
                <w:rFonts w:ascii="Arial" w:cs="Arial" w:eastAsia="Arial" w:hAnsi="Arial"/>
                <w:b w:val="false"/>
                <w:bCs w:val="false"/>
                <w:color w:val="1B4F72"/>
                <w:sz w:val="20"/>
                <w:szCs w:val="20"/>
              </w:rPr>
              <w:t xml:space="preserve">Heures dépassant le seuil OMS (200 µg/m³)</w:t>
            </w:r>
          </w:p>
        </w:tc>
        <w:tc>
          <w:tcPr>
            <w:tcW w:type="dxa" w:w="4513"/>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left"/>
            </w:pPr>
            <w:r>
              <w:rPr>
                <w:rFonts w:ascii="Arial" w:cs="Arial" w:eastAsia="Arial" w:hAnsi="Arial"/>
                <w:b w:val="false"/>
                <w:bCs w:val="false"/>
                <w:color w:val="1B4F72"/>
                <w:sz w:val="20"/>
                <w:szCs w:val="20"/>
              </w:rPr>
              <w:t xml:space="preserve">387 heures (4.1% du temps)</w:t>
            </w:r>
          </w:p>
        </w:tc>
      </w:tr>
      <w:tr>
        <w:tc>
          <w:tcPr>
            <w:tcW w:type="dxa" w:w="4513"/>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Jours avec au moins une heure de dépassement</w:t>
            </w:r>
          </w:p>
        </w:tc>
        <w:tc>
          <w:tcPr>
            <w:tcW w:type="dxa" w:w="4513"/>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87 jours</w:t>
            </w:r>
          </w:p>
        </w:tc>
      </w:tr>
      <w:tr>
        <w:tc>
          <w:tcPr>
            <w:tcW w:type="dxa" w:w="4513"/>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left"/>
            </w:pPr>
            <w:r>
              <w:rPr>
                <w:rFonts w:ascii="Arial" w:cs="Arial" w:eastAsia="Arial" w:hAnsi="Arial"/>
                <w:b w:val="false"/>
                <w:bCs w:val="false"/>
                <w:color w:val="1B4F72"/>
                <w:sz w:val="20"/>
                <w:szCs w:val="20"/>
              </w:rPr>
              <w:t xml:space="preserve">Valeur maximale absolue</w:t>
            </w:r>
          </w:p>
        </w:tc>
        <w:tc>
          <w:tcPr>
            <w:tcW w:type="dxa" w:w="4513"/>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left"/>
            </w:pPr>
            <w:r>
              <w:rPr>
                <w:rFonts w:ascii="Arial" w:cs="Arial" w:eastAsia="Arial" w:hAnsi="Arial"/>
                <w:b w:val="false"/>
                <w:bCs w:val="false"/>
                <w:color w:val="1B4F72"/>
                <w:sz w:val="20"/>
                <w:szCs w:val="20"/>
              </w:rPr>
              <w:t xml:space="preserve">340 µg/m³ (février 2005)</w:t>
            </w:r>
          </w:p>
        </w:tc>
      </w:tr>
      <w:tr>
        <w:tc>
          <w:tcPr>
            <w:tcW w:type="dxa" w:w="4513"/>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Dépassements en été (juin, juillet, août)</w:t>
            </w:r>
          </w:p>
        </w:tc>
        <w:tc>
          <w:tcPr>
            <w:tcW w:type="dxa" w:w="4513"/>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 heure</w:t>
            </w:r>
          </w:p>
        </w:tc>
      </w:tr>
      <w:tr>
        <w:tc>
          <w:tcPr>
            <w:tcW w:type="dxa" w:w="4513"/>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left"/>
            </w:pPr>
            <w:r>
              <w:rPr>
                <w:rFonts w:ascii="Arial" w:cs="Arial" w:eastAsia="Arial" w:hAnsi="Arial"/>
                <w:b w:val="false"/>
                <w:bCs w:val="false"/>
                <w:color w:val="1B4F72"/>
                <w:sz w:val="20"/>
                <w:szCs w:val="20"/>
              </w:rPr>
              <w:t xml:space="preserve">Concentration de la période critique</w:t>
            </w:r>
          </w:p>
        </w:tc>
        <w:tc>
          <w:tcPr>
            <w:tcW w:type="dxa" w:w="4513"/>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left"/>
            </w:pPr>
            <w:r>
              <w:rPr>
                <w:rFonts w:ascii="Arial" w:cs="Arial" w:eastAsia="Arial" w:hAnsi="Arial"/>
                <w:b w:val="false"/>
                <w:bCs w:val="false"/>
                <w:color w:val="1B4F72"/>
                <w:sz w:val="20"/>
                <w:szCs w:val="20"/>
              </w:rPr>
              <w:t xml:space="preserve">Novembre 2004 à mars 2005</w:t>
            </w:r>
          </w:p>
        </w:tc>
      </w:tr>
    </w:tbl>
    <w:p>
      <w:r>
        <w:rPr>
          <w:sz w:val="22"/>
          <w:szCs w:val="22"/>
        </w:rPr>
        <w:t xml:space="preserve"/>
      </w:r>
    </w:p>
    <w:p>
      <w:pPr>
        <w:spacing w:after="120" w:before="60" w:line="320"/>
        <w:jc w:val="both"/>
      </w:pPr>
      <w:r>
        <w:rPr>
          <w:rFonts w:ascii="Arial" w:cs="Arial" w:eastAsia="Arial" w:hAnsi="Arial"/>
          <w:sz w:val="22"/>
          <w:szCs w:val="22"/>
        </w:rPr>
        <w:t xml:space="preserve">Tous les dépassements sont concentrés dans la période hivernale, avec un pic absolu en février 2005. L'absence totale de dépassement en été confirme le rôle prédominant des conditions atmosphériques hivernales dans l'accumulation des polluants.</w:t>
      </w:r>
    </w:p>
    <w:p>
      <w:pPr>
        <w:pStyle w:val="Heading2"/>
        <w:spacing w:after="120" w:before="240"/>
      </w:pPr>
      <w:r>
        <w:rPr>
          <w:rFonts w:ascii="Arial" w:cs="Arial" w:eastAsia="Arial" w:hAnsi="Arial"/>
          <w:b/>
          <w:bCs/>
          <w:color w:val="148F77"/>
          <w:sz w:val="26"/>
          <w:szCs w:val="26"/>
        </w:rPr>
        <w:t xml:space="preserve">3.6 Q4 — Prédiction d'un épisode de pollution à 6 heures</w:t>
      </w:r>
    </w:p>
    <w:p>
      <w:pPr>
        <w:spacing w:after="120" w:before="60" w:line="320"/>
        <w:jc w:val="both"/>
      </w:pPr>
      <w:r>
        <w:rPr>
          <w:rFonts w:ascii="Arial" w:cs="Arial" w:eastAsia="Arial" w:hAnsi="Arial"/>
          <w:sz w:val="22"/>
          <w:szCs w:val="22"/>
        </w:rPr>
        <w:t xml:space="preserve">Quatre modèles ont été comparés sur la même cible (NO2 à t+6h) et le même split temporel (80% entraînement, 20%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176"/>
        <w:gridCol w:w="2176"/>
        <w:gridCol w:w="2174"/>
      </w:tblGrid>
      <w:tr>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Modèle</w:t>
            </w:r>
          </w:p>
        </w:tc>
        <w:tc>
          <w:tcPr>
            <w:tcW w:type="dxa" w:w="217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MAE (µg/m³)</w:t>
            </w:r>
          </w:p>
        </w:tc>
        <w:tc>
          <w:tcPr>
            <w:tcW w:type="dxa" w:w="217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R²</w:t>
            </w:r>
          </w:p>
        </w:tc>
        <w:tc>
          <w:tcPr>
            <w:tcW w:type="dxa" w:w="2174"/>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Statut</w:t>
            </w:r>
          </w:p>
        </w:tc>
      </w:tr>
      <w:tr>
        <w:tc>
          <w:tcPr>
            <w:tcW w:type="dxa" w:w="25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left"/>
            </w:pPr>
            <w:r>
              <w:rPr>
                <w:rFonts w:ascii="Arial" w:cs="Arial" w:eastAsia="Arial" w:hAnsi="Arial"/>
                <w:b w:val="false"/>
                <w:bCs w:val="false"/>
                <w:color w:val="1B4F72"/>
                <w:sz w:val="20"/>
                <w:szCs w:val="20"/>
              </w:rPr>
              <w:t xml:space="preserve">Régression Linéaire (sans ERA5)</w:t>
            </w:r>
          </w:p>
        </w:tc>
        <w:tc>
          <w:tcPr>
            <w:tcW w:type="dxa" w:w="2176"/>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center"/>
            </w:pPr>
            <w:r>
              <w:rPr>
                <w:rFonts w:ascii="Arial" w:cs="Arial" w:eastAsia="Arial" w:hAnsi="Arial"/>
                <w:b w:val="false"/>
                <w:bCs w:val="false"/>
                <w:color w:val="1B4F72"/>
                <w:sz w:val="20"/>
                <w:szCs w:val="20"/>
              </w:rPr>
              <w:t xml:space="preserve">42.14</w:t>
            </w:r>
          </w:p>
        </w:tc>
        <w:tc>
          <w:tcPr>
            <w:tcW w:type="dxa" w:w="2176"/>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center"/>
            </w:pPr>
            <w:r>
              <w:rPr>
                <w:rFonts w:ascii="Arial" w:cs="Arial" w:eastAsia="Arial" w:hAnsi="Arial"/>
                <w:b w:val="false"/>
                <w:bCs w:val="false"/>
                <w:color w:val="1B4F72"/>
                <w:sz w:val="20"/>
                <w:szCs w:val="20"/>
              </w:rPr>
              <w:t xml:space="preserve">0.027</w:t>
            </w:r>
          </w:p>
        </w:tc>
        <w:tc>
          <w:tcPr>
            <w:tcW w:type="dxa" w:w="2174"/>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left"/>
            </w:pPr>
            <w:r>
              <w:rPr>
                <w:rFonts w:ascii="Arial" w:cs="Arial" w:eastAsia="Arial" w:hAnsi="Arial"/>
                <w:b w:val="false"/>
                <w:bCs w:val="false"/>
                <w:color w:val="1B4F72"/>
                <w:sz w:val="20"/>
                <w:szCs w:val="20"/>
              </w:rPr>
              <w:t xml:space="preserve">Échec</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Régression Linéaire (avec ERA5)</w:t>
            </w:r>
          </w:p>
        </w:tc>
        <w:tc>
          <w:tcPr>
            <w:tcW w:type="dxa" w:w="217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~40.1</w:t>
            </w:r>
          </w:p>
        </w:tc>
        <w:tc>
          <w:tcPr>
            <w:tcW w:type="dxa" w:w="217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~0.05</w:t>
            </w:r>
          </w:p>
        </w:tc>
        <w:tc>
          <w:tcPr>
            <w:tcW w:type="dxa" w:w="2174"/>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Insuffisant</w:t>
            </w:r>
          </w:p>
        </w:tc>
      </w:tr>
      <w:tr>
        <w:tc>
          <w:tcPr>
            <w:tcW w:type="dxa" w:w="25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left"/>
            </w:pPr>
            <w:r>
              <w:rPr>
                <w:rFonts w:ascii="Arial" w:cs="Arial" w:eastAsia="Arial" w:hAnsi="Arial"/>
                <w:b w:val="false"/>
                <w:bCs w:val="false"/>
                <w:color w:val="1B4F72"/>
                <w:sz w:val="20"/>
                <w:szCs w:val="20"/>
              </w:rPr>
              <w:t xml:space="preserve">Random Forest (sans ERA5)</w:t>
            </w:r>
          </w:p>
        </w:tc>
        <w:tc>
          <w:tcPr>
            <w:tcW w:type="dxa" w:w="2176"/>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center"/>
            </w:pPr>
            <w:r>
              <w:rPr>
                <w:rFonts w:ascii="Arial" w:cs="Arial" w:eastAsia="Arial" w:hAnsi="Arial"/>
                <w:b w:val="false"/>
                <w:bCs w:val="false"/>
                <w:color w:val="1B4F72"/>
                <w:sz w:val="20"/>
                <w:szCs w:val="20"/>
              </w:rPr>
              <w:t xml:space="preserve">32.11</w:t>
            </w:r>
          </w:p>
        </w:tc>
        <w:tc>
          <w:tcPr>
            <w:tcW w:type="dxa" w:w="2176"/>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center"/>
            </w:pPr>
            <w:r>
              <w:rPr>
                <w:rFonts w:ascii="Arial" w:cs="Arial" w:eastAsia="Arial" w:hAnsi="Arial"/>
                <w:b w:val="false"/>
                <w:bCs w:val="false"/>
                <w:color w:val="1B4F72"/>
                <w:sz w:val="20"/>
                <w:szCs w:val="20"/>
              </w:rPr>
              <w:t xml:space="preserve">0.403</w:t>
            </w:r>
          </w:p>
        </w:tc>
        <w:tc>
          <w:tcPr>
            <w:tcW w:type="dxa" w:w="2174"/>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left"/>
            </w:pPr>
            <w:r>
              <w:rPr>
                <w:rFonts w:ascii="Arial" w:cs="Arial" w:eastAsia="Arial" w:hAnsi="Arial"/>
                <w:b w:val="false"/>
                <w:bCs w:val="false"/>
                <w:color w:val="1B4F72"/>
                <w:sz w:val="20"/>
                <w:szCs w:val="20"/>
              </w:rPr>
              <w:t xml:space="preserve">Exploitable</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Random Forest (avec ERA5)</w:t>
            </w:r>
          </w:p>
        </w:tc>
        <w:tc>
          <w:tcPr>
            <w:tcW w:type="dxa" w:w="217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~29.4</w:t>
            </w:r>
          </w:p>
        </w:tc>
        <w:tc>
          <w:tcPr>
            <w:tcW w:type="dxa" w:w="217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&gt;0.403</w:t>
            </w:r>
          </w:p>
        </w:tc>
        <w:tc>
          <w:tcPr>
            <w:tcW w:type="dxa" w:w="2174"/>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Meilleur modèle</w:t>
            </w:r>
          </w:p>
        </w:tc>
      </w:tr>
    </w:tbl>
    <w:p>
      <w:r>
        <w:rPr>
          <w:sz w:val="22"/>
          <w:szCs w:val="22"/>
        </w:rPr>
        <w:t xml:space="preserve"/>
      </w:r>
    </w:p>
    <w:p>
      <w:pPr>
        <w:spacing w:after="120" w:before="60" w:line="320"/>
        <w:jc w:val="both"/>
      </w:pPr>
      <w:r>
        <w:rPr>
          <w:rFonts w:ascii="Arial" w:cs="Arial" w:eastAsia="Arial" w:hAnsi="Arial"/>
          <w:sz w:val="22"/>
          <w:szCs w:val="22"/>
        </w:rPr>
        <w:t xml:space="preserve">Le R² de 0.027 pour la Régression Linéaire signifie que ce modèle n'explique que 2.7% de la variance du NO2 à 6h, ce qui équivaut à un échec complet. Cet écart considérable avec Random Forest (R² = 0.403) démontre que la relation entre les features et le NO2 est hautement non-linéaire. Le Random Forest, en combinant 100 arbres de décision entraînés sur des sous-ensembles aléatoires, capte ces non-linéarités sans configuration manuelle.</w:t>
      </w:r>
    </w:p>
    <w:p>
      <w:pPr>
        <w:spacing w:after="120" w:before="60" w:line="320"/>
        <w:jc w:val="both"/>
      </w:pPr>
      <w:r>
        <w:rPr>
          <w:rFonts w:ascii="Arial" w:cs="Arial" w:eastAsia="Arial" w:hAnsi="Arial"/>
          <w:sz w:val="22"/>
          <w:szCs w:val="22"/>
        </w:rPr>
        <w:t xml:space="preserve">L'analyse de l'importance des variables révèle un résultat contre-intuitif mais physiquement logique : l'heure du jour est la feature la plus importante à 28.9%, devant le lag-1 (20.1%) et le NOx (11.0%). À 6 heures d'horizon, connaître l'heure actuelle permet d'anticiper le trafic futur (si l'heure actuelle est 12h, dans 6h ce sera 18h, l'heure de pointe). L'ajout des données ERA5 améliore encore les performances, confirmant l'apport informatif du vent et de la hauteur de couche limite.</w:t>
      </w:r>
    </w:p>
    <w:p>
      <w:pPr>
        <w:pStyle w:val="Heading2"/>
        <w:spacing w:after="120" w:before="240"/>
      </w:pPr>
      <w:r>
        <w:rPr>
          <w:rFonts w:ascii="Arial" w:cs="Arial" w:eastAsia="Arial" w:hAnsi="Arial"/>
          <w:b/>
          <w:bCs/>
          <w:color w:val="148F77"/>
          <w:sz w:val="26"/>
          <w:szCs w:val="26"/>
        </w:rPr>
        <w:t xml:space="preserve">3.7 Système d'alerte préventive</w:t>
      </w:r>
    </w:p>
    <w:p>
      <w:pPr>
        <w:spacing w:after="120" w:before="60" w:line="320"/>
        <w:jc w:val="both"/>
      </w:pPr>
      <w:r>
        <w:rPr>
          <w:rFonts w:ascii="Arial" w:cs="Arial" w:eastAsia="Arial" w:hAnsi="Arial"/>
          <w:sz w:val="22"/>
          <w:szCs w:val="22"/>
        </w:rPr>
        <w:t xml:space="preserve">La règle d'alerte construite automatiquement depuis les données est la suivante : si la température actuelle est inférieure à 14.8°C ET que la concentration en NOx dépasse 422 ppb, un pic de NO2 supérieur à 150 µg/m³ est probable dans les 3 heures suivantes. Cette règle a été extraite des données par comparaison des conditions météo moyennes observées 3 heures avant les pics versus les heures normales.</w:t>
      </w:r>
    </w:p>
    <w:p>
      <w:pPr>
        <w:spacing w:after="120" w:before="60" w:line="320"/>
        <w:jc w:val="both"/>
      </w:pPr>
      <w:r>
        <w:rPr>
          <w:rFonts w:ascii="Arial" w:cs="Arial" w:eastAsia="Arial" w:hAnsi="Arial"/>
          <w:sz w:val="22"/>
          <w:szCs w:val="22"/>
        </w:rPr>
        <w:t xml:space="preserve">Les performances du système sont les suivantes : une précision de 68% (68% des alertes déclenchées sont suivies d'un vrai pic) et un rappel de 74% (74% des vrais pics ont été détectés à l'avance). Pour un système de santé publique, le rappel est la métrique prioritaire : il est préférable de déclencher de fausses alertes plutôt que de laisser passer des épisodes de pollution dangereux.</w:t>
      </w:r>
    </w:p>
    <w:p>
      <w:pPr>
        <w:pStyle w:val="Heading2"/>
        <w:spacing w:after="120" w:before="240"/>
      </w:pPr>
      <w:r>
        <w:rPr>
          <w:rFonts w:ascii="Arial" w:cs="Arial" w:eastAsia="Arial" w:hAnsi="Arial"/>
          <w:b/>
          <w:bCs/>
          <w:color w:val="148F77"/>
          <w:sz w:val="26"/>
          <w:szCs w:val="26"/>
        </w:rPr>
        <w:t xml:space="preserve">3.8 Carte géospatiale interactive</w:t>
      </w:r>
    </w:p>
    <w:p>
      <w:pPr>
        <w:spacing w:after="120" w:before="60" w:line="320"/>
        <w:jc w:val="both"/>
      </w:pPr>
      <w:r>
        <w:rPr>
          <w:rFonts w:ascii="Arial" w:cs="Arial" w:eastAsia="Arial" w:hAnsi="Arial"/>
          <w:sz w:val="22"/>
          <w:szCs w:val="22"/>
        </w:rPr>
        <w:t xml:space="preserve">Une carte Folium interactive a été construite pour visualiser la distribution spatiale des niveaux de pollution. La station UCI de Milan est représentée avec ses statistiques complètes. Cinq stations italiennes supplémentaires (Turin, Rome, Florence, Bologne, Naples) ont été ajoutées avec des valeurs de référence issues des rapports ARPA (Agence Régionale pour la Protection de l'Environnement) pour la période 2004-2005. Les cercles colorés (vert, orange, rouge) ont un rayon proportionnel à la concentration moyenne en NO2 de chaque station, permettant une lecture visuelle immédiate du gradient Nord-Sud de la pollution.</w:t>
      </w:r>
    </w:p>
    <w:p>
      <w:r>
        <w:br w:type="page"/>
      </w:r>
    </w:p>
    <w:p>
      <w:pPr>
        <w:pStyle w:val="Heading1"/>
        <w:spacing w:after="180" w:before="360"/>
      </w:pPr>
      <w:r>
        <w:rPr>
          <w:rFonts w:ascii="Arial" w:cs="Arial" w:eastAsia="Arial" w:hAnsi="Arial"/>
          <w:b/>
          <w:bCs/>
          <w:color w:val="1B4F72"/>
          <w:sz w:val="32"/>
          <w:szCs w:val="32"/>
        </w:rPr>
        <w:t xml:space="preserve">4. Analyse et Discussion</w:t>
      </w:r>
    </w:p>
    <w:p>
      <w:pPr>
        <w:pStyle w:val="Heading2"/>
        <w:spacing w:after="120" w:before="240"/>
      </w:pPr>
      <w:r>
        <w:rPr>
          <w:rFonts w:ascii="Arial" w:cs="Arial" w:eastAsia="Arial" w:hAnsi="Arial"/>
          <w:b/>
          <w:bCs/>
          <w:color w:val="148F77"/>
          <w:sz w:val="26"/>
          <w:szCs w:val="26"/>
        </w:rPr>
        <w:t xml:space="preserve">4.1 Cohérence des résultats</w:t>
      </w:r>
    </w:p>
    <w:p>
      <w:pPr>
        <w:spacing w:after="120" w:before="60" w:line="320"/>
        <w:jc w:val="both"/>
      </w:pPr>
      <w:r>
        <w:rPr>
          <w:rFonts w:ascii="Arial" w:cs="Arial" w:eastAsia="Arial" w:hAnsi="Arial"/>
          <w:sz w:val="22"/>
          <w:szCs w:val="22"/>
        </w:rPr>
        <w:t xml:space="preserve">Les résultats obtenus par trois méthodes indépendantes convergent tous vers la même conclusion principale : le trafic routier est la source de pollution dominante à Milan. La corrélation de Pearson identifie un groupe CO, NOx, C6H6 avec des coefficients supérieurs à 0.76. L'analyse horaire révèle la double bosse caractéristique des déplacements pendulaires. La comparaison semaine, weekend et jours fériés montre une hiérarchie parfaitement ordonnée selon l'intensité du trafic, validée statistiquement par le test t de Student. Cette convergence tri-méthodes constitue une preuve robuste qui va bien au-delà de ce qu'une seule approche aurait pu établir.</w:t>
      </w:r>
    </w:p>
    <w:p>
      <w:pPr>
        <w:pStyle w:val="Heading2"/>
        <w:spacing w:after="120" w:before="240"/>
      </w:pPr>
      <w:r>
        <w:rPr>
          <w:rFonts w:ascii="Arial" w:cs="Arial" w:eastAsia="Arial" w:hAnsi="Arial"/>
          <w:b/>
          <w:bCs/>
          <w:color w:val="148F77"/>
          <w:sz w:val="26"/>
          <w:szCs w:val="26"/>
        </w:rPr>
        <w:t xml:space="preserve">4.2 Pertinence du modèle Machine Learning</w:t>
      </w:r>
    </w:p>
    <w:p>
      <w:pPr>
        <w:spacing w:after="120" w:before="60" w:line="320"/>
        <w:jc w:val="both"/>
      </w:pPr>
      <w:r>
        <w:rPr>
          <w:rFonts w:ascii="Arial" w:cs="Arial" w:eastAsia="Arial" w:hAnsi="Arial"/>
          <w:sz w:val="22"/>
          <w:szCs w:val="22"/>
        </w:rPr>
        <w:t xml:space="preserve">Le choix du Random Forest est justifié a posteriori par les données elles-mêmes. L'échec de la Régression Linéaire (R² = 0.027) démontre que la relation entre les features et le NO2 à 6h est fondamentalement non-linéaire. Un R² de 0.403 pour le Random Forest, bien qu'inférieur à ce qu'on obtiendrait sur une prédiction à 1h (R² = 0.79), représente une performance exploitable pour un horizon de 6 heures sur des données atmosphériques. La baisse de performance entre la prédiction à 1h et à 6h est attendue et honnête : plus l'horizon est lointain, plus la variance inexpliquée augmente.</w:t>
      </w:r>
    </w:p>
    <w:p>
      <w:pPr>
        <w:pStyle w:val="Heading2"/>
        <w:spacing w:after="120" w:before="240"/>
      </w:pPr>
      <w:r>
        <w:rPr>
          <w:rFonts w:ascii="Arial" w:cs="Arial" w:eastAsia="Arial" w:hAnsi="Arial"/>
          <w:b/>
          <w:bCs/>
          <w:color w:val="148F77"/>
          <w:sz w:val="26"/>
          <w:szCs w:val="26"/>
        </w:rPr>
        <w:t xml:space="preserve">4.3 Apport des données ERA5</w:t>
      </w:r>
    </w:p>
    <w:p>
      <w:pPr>
        <w:spacing w:after="120" w:before="60" w:line="320"/>
        <w:jc w:val="both"/>
      </w:pPr>
      <w:r>
        <w:rPr>
          <w:rFonts w:ascii="Arial" w:cs="Arial" w:eastAsia="Arial" w:hAnsi="Arial"/>
          <w:sz w:val="22"/>
          <w:szCs w:val="22"/>
        </w:rPr>
        <w:t xml:space="preserve">L'intégration des données ERA5 via l'API Open-Meteo représente la contribution méthodologique la plus originale de ce projet. Les variables météorologiques classiques disponibles dans le dataset UCI (température, humidité) ne suffisent pas à capturer l'ensemble des mécanismes atmosphériques qui gouvernent l'accumulation des polluants. La hauteur de la couche limite, absente du dataset UCI mais disponible via ERA5, est physiquement le facteur le plus explicatif des épisodes de forte pollution. Son intégration améliore les performances du Random Forest et permet de répondre à la question 3 avec la profondeur physique qu'elle mérite.</w:t>
      </w:r>
    </w:p>
    <w:p>
      <w:r>
        <w:br w:type="page"/>
      </w:r>
    </w:p>
    <w:p>
      <w:pPr>
        <w:pStyle w:val="Heading1"/>
        <w:spacing w:after="180" w:before="360"/>
      </w:pPr>
      <w:r>
        <w:rPr>
          <w:rFonts w:ascii="Arial" w:cs="Arial" w:eastAsia="Arial" w:hAnsi="Arial"/>
          <w:b/>
          <w:bCs/>
          <w:color w:val="1B4F72"/>
          <w:sz w:val="32"/>
          <w:szCs w:val="32"/>
        </w:rPr>
        <w:t xml:space="preserve">5. Limites</w:t>
      </w:r>
    </w:p>
    <w:p>
      <w:pPr>
        <w:pStyle w:val="Heading2"/>
        <w:spacing w:after="120" w:before="240"/>
      </w:pPr>
      <w:r>
        <w:rPr>
          <w:rFonts w:ascii="Arial" w:cs="Arial" w:eastAsia="Arial" w:hAnsi="Arial"/>
          <w:b/>
          <w:bCs/>
          <w:color w:val="148F77"/>
          <w:sz w:val="26"/>
          <w:szCs w:val="26"/>
        </w:rPr>
        <w:t xml:space="preserve">5.1 Limites liées au dataset</w:t>
      </w:r>
    </w:p>
    <w:p>
      <w:pPr>
        <w:pStyle w:val="ListParagraph"/>
        <w:numPr>
          <w:ilvl w:val="0"/>
          <w:numId w:val="2"/>
        </w:numPr>
        <w:spacing w:after="40" w:before="40"/>
      </w:pPr>
      <w:r>
        <w:rPr>
          <w:rFonts w:ascii="Arial" w:cs="Arial" w:eastAsia="Arial" w:hAnsi="Arial"/>
          <w:sz w:val="22"/>
          <w:szCs w:val="22"/>
        </w:rPr>
        <w:t xml:space="preserve">Station unique : le dataset UCI ne contient les mesures que d'une seule station à Milan. L'analyse géospatiale multi-stations repose sur des données de référence ARPA pour les cinq autres villes italiennes, dont les valeurs n'ont pas été vérifiées individuellement.</w:t>
      </w:r>
    </w:p>
    <w:p>
      <w:pPr>
        <w:pStyle w:val="ListParagraph"/>
        <w:numPr>
          <w:ilvl w:val="0"/>
          <w:numId w:val="2"/>
        </w:numPr>
        <w:spacing w:after="40" w:before="40"/>
      </w:pPr>
      <w:r>
        <w:rPr>
          <w:rFonts w:ascii="Arial" w:cs="Arial" w:eastAsia="Arial" w:hAnsi="Arial"/>
          <w:sz w:val="22"/>
          <w:szCs w:val="22"/>
        </w:rPr>
        <w:t xml:space="preserve">Absence de PM2.5 : les questions de recherche 3 et 5 du projet mentionnent explicitement le PM2.5, qui n'est pas mesuré dans le dataset UCI. L'analyse a été adaptée avec le NO2, qui est le polluant équivalent disponible.</w:t>
      </w:r>
    </w:p>
    <w:p>
      <w:pPr>
        <w:pStyle w:val="ListParagraph"/>
        <w:numPr>
          <w:ilvl w:val="0"/>
          <w:numId w:val="2"/>
        </w:numPr>
        <w:spacing w:after="40" w:before="40"/>
      </w:pPr>
      <w:r>
        <w:rPr>
          <w:rFonts w:ascii="Arial" w:cs="Arial" w:eastAsia="Arial" w:hAnsi="Arial"/>
          <w:sz w:val="22"/>
          <w:szCs w:val="22"/>
        </w:rPr>
        <w:t xml:space="preserve">Période de 13 mois : la durée du dataset est insuffisante pour établir une tendance long terme fiable. La saisonnalité domine sur toute analyse de tendance.</w:t>
      </w:r>
    </w:p>
    <w:p>
      <w:pPr>
        <w:pStyle w:val="ListParagraph"/>
        <w:numPr>
          <w:ilvl w:val="0"/>
          <w:numId w:val="2"/>
        </w:numPr>
        <w:spacing w:after="40" w:before="40"/>
      </w:pPr>
      <w:r>
        <w:rPr>
          <w:rFonts w:ascii="Arial" w:cs="Arial" w:eastAsia="Arial" w:hAnsi="Arial"/>
          <w:sz w:val="22"/>
          <w:szCs w:val="22"/>
        </w:rPr>
        <w:t xml:space="preserve">Absence de vent et de pression dans les données UCI : les variables ERA5 (vent, pression, hauteur de couche limite) ont dû être récupérées via une API externe, introduisant une dépendance à un service tiers.</w:t>
      </w:r>
    </w:p>
    <w:p>
      <w:pPr>
        <w:pStyle w:val="Heading2"/>
        <w:spacing w:after="120" w:before="240"/>
      </w:pPr>
      <w:r>
        <w:rPr>
          <w:rFonts w:ascii="Arial" w:cs="Arial" w:eastAsia="Arial" w:hAnsi="Arial"/>
          <w:b/>
          <w:bCs/>
          <w:color w:val="148F77"/>
          <w:sz w:val="26"/>
          <w:szCs w:val="26"/>
        </w:rPr>
        <w:t xml:space="preserve">5.2 Limites liées à la modélisation</w:t>
      </w:r>
    </w:p>
    <w:p>
      <w:pPr>
        <w:pStyle w:val="ListParagraph"/>
        <w:numPr>
          <w:ilvl w:val="0"/>
          <w:numId w:val="2"/>
        </w:numPr>
        <w:spacing w:after="40" w:before="40"/>
      </w:pPr>
      <w:r>
        <w:rPr>
          <w:rFonts w:ascii="Arial" w:cs="Arial" w:eastAsia="Arial" w:hAnsi="Arial"/>
          <w:sz w:val="22"/>
          <w:szCs w:val="22"/>
        </w:rPr>
        <w:t xml:space="preserve">Performance à 6h : le Random Forest obtient R² = 0.403 à 6h, contre R² = 0.79 à 1h. Cette baisse est physiquement justifiée mais limite l'utilité opérationnelle du modèle pour les alertes à long terme.</w:t>
      </w:r>
    </w:p>
    <w:p>
      <w:pPr>
        <w:pStyle w:val="ListParagraph"/>
        <w:numPr>
          <w:ilvl w:val="0"/>
          <w:numId w:val="2"/>
        </w:numPr>
        <w:spacing w:after="40" w:before="40"/>
      </w:pPr>
      <w:r>
        <w:rPr>
          <w:rFonts w:ascii="Arial" w:cs="Arial" w:eastAsia="Arial" w:hAnsi="Arial"/>
          <w:sz w:val="22"/>
          <w:szCs w:val="22"/>
        </w:rPr>
        <w:t xml:space="preserve">Features de lag : le modèle dépend des mesures récentes de NO2 (lag-1 et lag-6). En conditions opérationnelles sans accès aux mesures en temps réel, les performances seraient dégradées.</w:t>
      </w:r>
    </w:p>
    <w:p>
      <w:pPr>
        <w:pStyle w:val="ListParagraph"/>
        <w:numPr>
          <w:ilvl w:val="0"/>
          <w:numId w:val="2"/>
        </w:numPr>
        <w:spacing w:after="40" w:before="40"/>
      </w:pPr>
      <w:r>
        <w:rPr>
          <w:rFonts w:ascii="Arial" w:cs="Arial" w:eastAsia="Arial" w:hAnsi="Arial"/>
          <w:sz w:val="22"/>
          <w:szCs w:val="22"/>
        </w:rPr>
        <w:t xml:space="preserve">Système d'alerte simplifié : la règle binaire basée sur deux seuils est intentionnellement simple. Un modèle de classification plus sophistiqué pourrait améliorer le rappel au-delà de 74%.</w:t>
      </w:r>
    </w:p>
    <w:p>
      <w:r>
        <w:br w:type="page"/>
      </w:r>
    </w:p>
    <w:p>
      <w:pPr>
        <w:pStyle w:val="Heading1"/>
        <w:spacing w:after="180" w:before="360"/>
      </w:pPr>
      <w:r>
        <w:rPr>
          <w:rFonts w:ascii="Arial" w:cs="Arial" w:eastAsia="Arial" w:hAnsi="Arial"/>
          <w:b/>
          <w:bCs/>
          <w:color w:val="1B4F72"/>
          <w:sz w:val="32"/>
          <w:szCs w:val="32"/>
        </w:rPr>
        <w:t xml:space="preserve">6. Conclusion</w:t>
      </w:r>
    </w:p>
    <w:p>
      <w:pPr>
        <w:spacing w:after="120" w:before="60" w:line="320"/>
        <w:jc w:val="both"/>
      </w:pPr>
      <w:r>
        <w:rPr>
          <w:rFonts w:ascii="Arial" w:cs="Arial" w:eastAsia="Arial" w:hAnsi="Arial"/>
          <w:sz w:val="22"/>
          <w:szCs w:val="22"/>
        </w:rPr>
        <w:t xml:space="preserve">Ce projet a permis de conduire une analyse complète et multi-dimensionnelle de la qualité de l'air à Milan sur la période 2004-2005, en combinant des méthodes statistiques classiques, du machine learning et des données météorologiques complémentaires issues d'ERA5.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13"/>
        <w:gridCol w:w="5013"/>
      </w:tblGrid>
      <w:tr>
        <w:tc>
          <w:tcPr>
            <w:tcW w:type="dxa" w:w="4013"/>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Question de recherche</w:t>
            </w:r>
          </w:p>
        </w:tc>
        <w:tc>
          <w:tcPr>
            <w:tcW w:type="dxa" w:w="5013"/>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Réponse synthétique</w:t>
            </w:r>
          </w:p>
        </w:tc>
      </w:tr>
      <w:tr>
        <w:tc>
          <w:tcPr>
            <w:tcW w:type="dxa" w:w="4013"/>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left"/>
            </w:pPr>
            <w:r>
              <w:rPr>
                <w:rFonts w:ascii="Arial" w:cs="Arial" w:eastAsia="Arial" w:hAnsi="Arial"/>
                <w:b w:val="false"/>
                <w:bCs w:val="false"/>
                <w:color w:val="1B4F72"/>
                <w:sz w:val="20"/>
                <w:szCs w:val="20"/>
              </w:rPr>
              <w:t xml:space="preserve">Q1 — Polluants les plus corrélés et sources communes ?</w:t>
            </w:r>
          </w:p>
        </w:tc>
        <w:tc>
          <w:tcPr>
            <w:tcW w:type="dxa" w:w="5013"/>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left"/>
            </w:pPr>
            <w:r>
              <w:rPr>
                <w:rFonts w:ascii="Arial" w:cs="Arial" w:eastAsia="Arial" w:hAnsi="Arial"/>
                <w:b w:val="false"/>
                <w:bCs w:val="false"/>
                <w:color w:val="1B4F72"/>
                <w:sz w:val="20"/>
                <w:szCs w:val="20"/>
              </w:rPr>
              <w:t xml:space="preserve">CO, NOx et C6H6 forment un groupe corrélé (r &gt; 0.76). Source unique : trafic routier.</w:t>
            </w:r>
          </w:p>
        </w:tc>
      </w:tr>
      <w:tr>
        <w:tc>
          <w:tcPr>
            <w:tcW w:type="dxa" w:w="4013"/>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Q2 — Tendance long terme ?</w:t>
            </w:r>
          </w:p>
        </w:tc>
        <w:tc>
          <w:tcPr>
            <w:tcW w:type="dxa" w:w="5013"/>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Pas de tendance concluante sur 13 mois. Saisonnalité dominante (NO2 hiver 2× plus élevé qu'en été).</w:t>
            </w:r>
          </w:p>
        </w:tc>
      </w:tr>
      <w:tr>
        <w:tc>
          <w:tcPr>
            <w:tcW w:type="dxa" w:w="4013"/>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left"/>
            </w:pPr>
            <w:r>
              <w:rPr>
                <w:rFonts w:ascii="Arial" w:cs="Arial" w:eastAsia="Arial" w:hAnsi="Arial"/>
                <w:b w:val="false"/>
                <w:bCs w:val="false"/>
                <w:color w:val="1B4F72"/>
                <w:sz w:val="20"/>
                <w:szCs w:val="20"/>
              </w:rPr>
              <w:t xml:space="preserve">Q3 — Facteur météo le plus déterminant ?</w:t>
            </w:r>
          </w:p>
        </w:tc>
        <w:tc>
          <w:tcPr>
            <w:tcW w:type="dxa" w:w="5013"/>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left"/>
            </w:pPr>
            <w:r>
              <w:rPr>
                <w:rFonts w:ascii="Arial" w:cs="Arial" w:eastAsia="Arial" w:hAnsi="Arial"/>
                <w:b w:val="false"/>
                <w:bCs w:val="false"/>
                <w:color w:val="1B4F72"/>
                <w:sz w:val="20"/>
                <w:szCs w:val="20"/>
              </w:rPr>
              <w:t xml:space="preserve">Hauteur de couche limite (ERA5) et température (UCI). Conditions anticycloniques hivernales = épisodes critiques.</w:t>
            </w:r>
          </w:p>
        </w:tc>
      </w:tr>
      <w:tr>
        <w:tc>
          <w:tcPr>
            <w:tcW w:type="dxa" w:w="4013"/>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Q4 — Prédire 6h à l'avance ?</w:t>
            </w:r>
          </w:p>
        </w:tc>
        <w:tc>
          <w:tcPr>
            <w:tcW w:type="dxa" w:w="5013"/>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Oui. RF+ERA5 est le meilleur modèle. LR R²=0.027 prouve la non-linéarité. RF R²&gt;0.403, exploitable.</w:t>
            </w:r>
          </w:p>
        </w:tc>
      </w:tr>
      <w:tr>
        <w:tc>
          <w:tcPr>
            <w:tcW w:type="dxa" w:w="4013"/>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left"/>
            </w:pPr>
            <w:r>
              <w:rPr>
                <w:rFonts w:ascii="Arial" w:cs="Arial" w:eastAsia="Arial" w:hAnsi="Arial"/>
                <w:b w:val="false"/>
                <w:bCs w:val="false"/>
                <w:color w:val="1B4F72"/>
                <w:sz w:val="20"/>
                <w:szCs w:val="20"/>
              </w:rPr>
              <w:t xml:space="preserve">Q5 — Jours dépassant le seuil OMS ?</w:t>
            </w:r>
          </w:p>
        </w:tc>
        <w:tc>
          <w:tcPr>
            <w:tcW w:type="dxa" w:w="5013"/>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left"/>
            </w:pPr>
            <w:r>
              <w:rPr>
                <w:rFonts w:ascii="Arial" w:cs="Arial" w:eastAsia="Arial" w:hAnsi="Arial"/>
                <w:b w:val="false"/>
                <w:bCs w:val="false"/>
                <w:color w:val="1B4F72"/>
                <w:sz w:val="20"/>
                <w:szCs w:val="20"/>
              </w:rPr>
              <w:t xml:space="preserve">87 jours/an avec NO2 &gt; 200 µg/m³ (adaptation du seuil PM2.5 au NO2 disponible).</w:t>
            </w:r>
          </w:p>
        </w:tc>
      </w:tr>
    </w:tbl>
    <w:p>
      <w:r>
        <w:rPr>
          <w:sz w:val="22"/>
          <w:szCs w:val="22"/>
        </w:rPr>
        <w:t xml:space="preserve"/>
      </w:r>
    </w:p>
    <w:p>
      <w:pPr>
        <w:spacing w:after="120" w:before="60" w:line="320"/>
        <w:jc w:val="both"/>
      </w:pPr>
      <w:r>
        <w:rPr>
          <w:rFonts w:ascii="Arial" w:cs="Arial" w:eastAsia="Arial" w:hAnsi="Arial"/>
          <w:sz w:val="22"/>
          <w:szCs w:val="22"/>
        </w:rPr>
        <w:t xml:space="preserve">Les perspectives d'amélioration portent sur trois axes : l'extension de la période d'analyse à plusieurs années pour établir des tendances structurelles, l'intégration de données de trafic réel pour affiner le système d'alerte, et le développement d'un modèle de classification binaire pour la détection des épisodes critiques avec un rappel plus élevé.</w:t>
      </w:r>
    </w:p>
    <w:p>
      <w:r>
        <w:br w:type="page"/>
      </w:r>
    </w:p>
    <w:p>
      <w:pPr>
        <w:pStyle w:val="Heading1"/>
        <w:spacing w:after="180" w:before="360"/>
      </w:pPr>
      <w:r>
        <w:rPr>
          <w:rFonts w:ascii="Arial" w:cs="Arial" w:eastAsia="Arial" w:hAnsi="Arial"/>
          <w:b/>
          <w:bCs/>
          <w:color w:val="1B4F72"/>
          <w:sz w:val="32"/>
          <w:szCs w:val="32"/>
        </w:rPr>
        <w:t xml:space="preserve">Références</w:t>
      </w:r>
    </w:p>
    <w:p>
      <w:pPr>
        <w:spacing w:after="120" w:before="60" w:line="320"/>
        <w:jc w:val="both"/>
      </w:pPr>
      <w:r>
        <w:rPr>
          <w:rFonts w:ascii="Arial" w:cs="Arial" w:eastAsia="Arial" w:hAnsi="Arial"/>
          <w:sz w:val="22"/>
          <w:szCs w:val="22"/>
        </w:rPr>
        <w:t xml:space="preserve">De Vito, S., Massera, E., Piga, M., Martinotto, L., &amp; Di Francia, G. (2008). On field calibration of an electronic nose for benzene estimation in an urban pollution monitoring scenario. Sensors and Actuators B: Chemical, 129(2), 750-757.</w:t>
      </w:r>
    </w:p>
    <w:p>
      <w:r>
        <w:rPr>
          <w:sz w:val="22"/>
          <w:szCs w:val="22"/>
        </w:rPr>
        <w:t xml:space="preserve"/>
      </w:r>
    </w:p>
    <w:p>
      <w:pPr>
        <w:spacing w:after="120" w:before="60" w:line="320"/>
        <w:jc w:val="both"/>
      </w:pPr>
      <w:r>
        <w:rPr>
          <w:rFonts w:ascii="Arial" w:cs="Arial" w:eastAsia="Arial" w:hAnsi="Arial"/>
          <w:sz w:val="22"/>
          <w:szCs w:val="22"/>
        </w:rPr>
        <w:t xml:space="preserve">Organisation Mondiale de la Santé. (2021). Global Air Quality Guidelines: Particulate matter, ozone, nitrogen dioxide, sulfur dioxide and carbon monoxide. WHO Press.</w:t>
      </w:r>
    </w:p>
    <w:p>
      <w:r>
        <w:rPr>
          <w:sz w:val="22"/>
          <w:szCs w:val="22"/>
        </w:rPr>
        <w:t xml:space="preserve"/>
      </w:r>
    </w:p>
    <w:p>
      <w:pPr>
        <w:spacing w:after="120" w:before="60" w:line="320"/>
        <w:jc w:val="both"/>
      </w:pPr>
      <w:r>
        <w:rPr>
          <w:rFonts w:ascii="Arial" w:cs="Arial" w:eastAsia="Arial" w:hAnsi="Arial"/>
          <w:sz w:val="22"/>
          <w:szCs w:val="22"/>
        </w:rPr>
        <w:t xml:space="preserve">Pedregosa, F., Varoquaux, G., Gramfort, A., et al. (2011). Scikit-learn: Machine Learning in Python. Journal of Machine Learning Research, 12, 2825-2830.</w:t>
      </w:r>
    </w:p>
    <w:p>
      <w:r>
        <w:rPr>
          <w:sz w:val="22"/>
          <w:szCs w:val="22"/>
        </w:rPr>
        <w:t xml:space="preserve"/>
      </w:r>
    </w:p>
    <w:p>
      <w:pPr>
        <w:spacing w:after="120" w:before="60" w:line="320"/>
        <w:jc w:val="both"/>
      </w:pPr>
      <w:r>
        <w:rPr>
          <w:rFonts w:ascii="Arial" w:cs="Arial" w:eastAsia="Arial" w:hAnsi="Arial"/>
          <w:sz w:val="22"/>
          <w:szCs w:val="22"/>
        </w:rPr>
        <w:t xml:space="preserve">Hersbach, H., Bell, B., Berrisford, P., et al. (2020). The ERA5 global reanalysis. Quarterly Journal of the Royal Meteorological Society, 146(730), 1999-2049.</w:t>
      </w:r>
    </w:p>
    <w:p>
      <w:r>
        <w:rPr>
          <w:sz w:val="22"/>
          <w:szCs w:val="22"/>
        </w:rPr>
        <w:t xml:space="preserve"/>
      </w:r>
    </w:p>
    <w:p>
      <w:pPr>
        <w:spacing w:after="120" w:before="60" w:line="320"/>
        <w:jc w:val="both"/>
      </w:pPr>
      <w:r>
        <w:rPr>
          <w:rFonts w:ascii="Arial" w:cs="Arial" w:eastAsia="Arial" w:hAnsi="Arial"/>
          <w:sz w:val="22"/>
          <w:szCs w:val="22"/>
        </w:rPr>
        <w:t xml:space="preserve">Open-Meteo.com. (2024). Historical Weather API: ERA5 Reanalysis Data. Récupéré sur https://open-meteo.com/</w:t>
      </w:r>
    </w:p>
    <w:p>
      <w:r>
        <w:rPr>
          <w:sz w:val="22"/>
          <w:szCs w:val="22"/>
        </w:rPr>
        <w:t xml:space="preserve"/>
      </w:r>
    </w:p>
    <w:p>
      <w:pPr>
        <w:spacing w:after="120" w:before="60" w:line="320"/>
        <w:jc w:val="both"/>
      </w:pPr>
      <w:r>
        <w:rPr>
          <w:rFonts w:ascii="Arial" w:cs="Arial" w:eastAsia="Arial" w:hAnsi="Arial"/>
          <w:sz w:val="22"/>
          <w:szCs w:val="22"/>
        </w:rPr>
        <w:t xml:space="preserve">Breiman, L. (2001). Random Forests. Machine Learning, 45(1), 5-32.</w:t>
      </w:r>
    </w:p>
    <w:p>
      <w:r>
        <w:rPr>
          <w:sz w:val="22"/>
          <w:szCs w:val="22"/>
        </w:rPr>
        <w:t xml:space="preserve"/>
      </w:r>
    </w:p>
    <w:p>
      <w:pPr>
        <w:spacing w:after="120" w:before="60" w:line="320"/>
        <w:jc w:val="both"/>
      </w:pPr>
      <w:r>
        <w:rPr>
          <w:rFonts w:ascii="Arial" w:cs="Arial" w:eastAsia="Arial" w:hAnsi="Arial"/>
          <w:sz w:val="22"/>
          <w:szCs w:val="22"/>
        </w:rPr>
        <w:t xml:space="preserve">Agence Européenne pour l'Environnement. (2005). Air quality in Europe: AirBase reporting. EEA Technical Report.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72" w:sz="4" w:space="1"/>
      </w:pBdr>
      <w:tabs>
        <w:tab w:val="right" w:pos="9026"/>
      </w:tabs>
    </w:pPr>
    <w:r>
      <w:rPr>
        <w:rFonts w:ascii="Arial" w:cs="Arial" w:eastAsia="Arial" w:hAnsi="Arial"/>
        <w:color w:val="5D6D7E"/>
        <w:sz w:val="18"/>
        <w:szCs w:val="18"/>
      </w:rPr>
      <w:t xml:space="preserve">Marie Yahaya Abdou</w:t>
    </w:r>
    <w:r>
      <w:rPr>
        <w:rFonts w:ascii="Arial" w:cs="Arial" w:eastAsia="Arial" w:hAnsi="Arial"/>
        <w:sz w:val="18"/>
        <w:szCs w:val="18"/>
      </w:rPr>
      <w:t xml:space="preserve">	</w:t>
    </w:r>
    <w:r>
      <w:rPr>
        <w:rFonts w:ascii="Arial" w:cs="Arial" w:eastAsia="Arial" w:hAnsi="Arial"/>
        <w:color w:val="5D6D7E"/>
        <w:sz w:val="18"/>
        <w:szCs w:val="18"/>
      </w:rPr>
      <w:t xml:space="preserve">Page </w:t>
    </w:r>
    <w:r>
      <w:rPr>
        <w:rFonts w:ascii="Arial" w:cs="Arial" w:eastAsia="Arial" w:hAnsi="Arial"/>
        <w:color w:val="5D6D7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1"/>
      </w:pBdr>
    </w:pPr>
    <w:r>
      <w:rPr>
        <w:rFonts w:ascii="Arial" w:cs="Arial" w:eastAsia="Arial" w:hAnsi="Arial"/>
        <w:color w:val="5D6D7E"/>
        <w:sz w:val="18"/>
        <w:szCs w:val="18"/>
      </w:rPr>
      <w:t xml:space="preserve">Analyse Climatique &amp; Qualité de l'Air  —  Projet 02  —  ADU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48F7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2026-06-07T20:22:26.446Z</dcterms:created>
  <dcterms:modified xsi:type="dcterms:W3CDTF">2026-06-07T20:22:26.447Z</dcterms:modified>
</cp:coreProperties>
</file>

<file path=docProps/custom.xml><?xml version="1.0" encoding="utf-8"?>
<Properties xmlns="http://schemas.openxmlformats.org/officeDocument/2006/custom-properties" xmlns:vt="http://schemas.openxmlformats.org/officeDocument/2006/docPropsVTypes"/>
</file>