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2 модели с двумя очередями обслуживания и с одной очередью обслуживания в gpss. обозначить оптимальное количество пропускных пунктов.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модели:</w:t>
      </w:r>
      <w:r>
        <w:t xml:space="preserve"> </w:t>
      </w:r>
      <w:r>
        <w:t xml:space="preserve">1. модель с двумя очередями обсуживания</w:t>
      </w:r>
      <w:r>
        <w:t xml:space="preserve"> </w:t>
      </w:r>
      <w:r>
        <w:t xml:space="preserve">2. с одной очередью обслуживания</w:t>
      </w:r>
      <w:r>
        <w:t xml:space="preserve"> </w:t>
      </w:r>
      <w:r>
        <w:t xml:space="preserve">3. Сделать сравнение двух моделей и обозначить оптимальное количество пропускных пунктов</w:t>
      </w:r>
    </w:p>
    <w:bookmarkEnd w:id="21"/>
    <w:bookmarkStart w:id="22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 [a, b].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  <w:r>
        <w:t xml:space="preserve"> </w:t>
      </w:r>
      <w:r>
        <w:t xml:space="preserve">1) 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  <w:r>
        <w:t xml:space="preserve"> </w:t>
      </w:r>
      <w:r>
        <w:t xml:space="preserve">2) 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 µ = 1, 75 мин, a = 1 мин, b = 7 мин</w:t>
      </w:r>
    </w:p>
    <w:bookmarkEnd w:id="22"/>
    <w:bookmarkStart w:id="9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BodyText"/>
      </w:pPr>
      <w:r>
        <w:t xml:space="preserve">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</w:t>
      </w:r>
      <w:r>
        <w:t xml:space="preserve"> </w:t>
      </w:r>
      <w:r>
        <w:t xml:space="preserve">наилучшей стратегии обслуживания автомобилей на пункте пограничного контроля;</w:t>
      </w:r>
      <w:r>
        <w:t xml:space="preserve"> </w:t>
      </w:r>
      <w:r>
        <w:t xml:space="preserve">оптимального количества пропускных пунктов.</w:t>
      </w:r>
      <w:r>
        <w:t xml:space="preserve"> </w:t>
      </w:r>
      <w:r>
        <w:t xml:space="preserve">В качестве критериев, используемых для сравнения стратегий обслуживания автомобилей, выберем:</w:t>
      </w:r>
    </w:p>
    <w:p>
      <w:pPr>
        <w:pStyle w:val="BodyText"/>
      </w:pPr>
      <w:r>
        <w:t xml:space="preserve">коэффициенты загрузки системы;</w:t>
      </w:r>
      <w:r>
        <w:t xml:space="preserve"> </w:t>
      </w:r>
      <w:r>
        <w:t xml:space="preserve">максимальные и средние длины очередей;</w:t>
      </w:r>
      <w:r>
        <w:t xml:space="preserve"> </w:t>
      </w:r>
      <w:r>
        <w:t xml:space="preserve">средние значения времени ожидания обслуживания.</w:t>
      </w:r>
      <w:r>
        <w:t xml:space="preserve"> </w:t>
      </w:r>
      <w:r>
        <w:t xml:space="preserve">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536106" cy="2781566"/>
            <wp:effectExtent b="0" l="0" r="0" t="0"/>
            <wp:docPr descr="Построение модели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27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1</w:t>
      </w:r>
    </w:p>
    <w:bookmarkEnd w:id="26"/>
    <w:p>
      <w:pPr>
        <w:pStyle w:val="BodyText"/>
      </w:pPr>
      <w:r>
        <w:t xml:space="preserve">После запуска симуляции получим отчёт (рис.</w:t>
      </w:r>
      <w:r>
        <w:t xml:space="preserve"> </w:t>
      </w:r>
      <w:r>
        <w:t xml:space="preserve">[-@fig:002]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3657488"/>
            <wp:effectExtent b="0" l="0" r="0" t="0"/>
            <wp:docPr descr="Отчет модели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1033416"/>
            <wp:effectExtent b="0" l="0" r="0" t="0"/>
            <wp:docPr descr="Отчет модели 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1</w:t>
      </w:r>
    </w:p>
    <w:bookmarkEnd w:id="34"/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</w:t>
      </w:r>
      <w:r>
        <w:t xml:space="preserve"> </w:t>
      </w:r>
      <w:r>
        <w:t xml:space="preserve">[-@fig:004]</w:t>
      </w:r>
      <w:r>
        <w:t xml:space="preserve">,</w:t>
      </w:r>
      <w:r>
        <w:t xml:space="preserve"> </w:t>
      </w:r>
      <w:r>
        <w:t xml:space="preserve">[-@fig:005]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037342" cy="1764855"/>
            <wp:effectExtent b="0" l="0" r="0" t="0"/>
            <wp:docPr descr="Построение модели для второй стратег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для второй стратегии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3194843"/>
            <wp:effectExtent b="0" l="0" r="0" t="0"/>
            <wp:docPr descr="Отчет модели второй стратеги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второй стратегии</w:t>
      </w:r>
    </w:p>
    <w:bookmarkEnd w:id="42"/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t xml:space="preserve">[-@tbl:strategy]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072"/>
        <w:gridCol w:w="1554"/>
        <w:gridCol w:w="1554"/>
        <w:gridCol w:w="1554"/>
        <w:gridCol w:w="11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</w:pPr>
            <w:r>
              <w:t xml:space="preserve">стратегия 1 пункт 1</w:t>
            </w:r>
          </w:p>
        </w:tc>
        <w:tc>
          <w:tcPr/>
          <w:p>
            <w:pPr>
              <w:pStyle w:val="Compact"/>
            </w:pPr>
            <w:r>
              <w:t xml:space="preserve">стратегия 1 пункт 2</w:t>
            </w:r>
          </w:p>
        </w:tc>
        <w:tc>
          <w:tcPr/>
          <w:p>
            <w:pPr>
              <w:pStyle w:val="Compact"/>
            </w:pPr>
            <w:r>
              <w:t xml:space="preserve">стратегия 1 в целом</w:t>
            </w:r>
          </w:p>
        </w:tc>
        <w:tc>
          <w:tcPr/>
          <w:p>
            <w:pPr>
              <w:pStyle w:val="Compac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</w:pPr>
            <w:r>
              <w:t xml:space="preserve">2928</w:t>
            </w:r>
          </w:p>
        </w:tc>
        <w:tc>
          <w:tcPr/>
          <w:p>
            <w:pPr>
              <w:pStyle w:val="Compact"/>
            </w:pPr>
            <w:r>
              <w:t xml:space="preserve">2925</w:t>
            </w:r>
          </w:p>
        </w:tc>
        <w:tc>
          <w:tcPr/>
          <w:p>
            <w:pPr>
              <w:pStyle w:val="Compact"/>
            </w:pPr>
            <w:r>
              <w:t xml:space="preserve">5853</w:t>
            </w:r>
          </w:p>
        </w:tc>
        <w:tc>
          <w:tcPr/>
          <w:p>
            <w:pPr>
              <w:pStyle w:val="Compac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</w:pPr>
            <w:r>
              <w:t xml:space="preserve">2540</w:t>
            </w:r>
          </w:p>
        </w:tc>
        <w:tc>
          <w:tcPr/>
          <w:p>
            <w:pPr>
              <w:pStyle w:val="Compact"/>
            </w:pPr>
            <w:r>
              <w:t xml:space="preserve">2536</w:t>
            </w:r>
          </w:p>
        </w:tc>
        <w:tc>
          <w:tcPr/>
          <w:p>
            <w:pPr>
              <w:pStyle w:val="Compact"/>
            </w:pPr>
            <w:r>
              <w:t xml:space="preserve">5076</w:t>
            </w:r>
          </w:p>
        </w:tc>
        <w:tc>
          <w:tcPr/>
          <w:p>
            <w:pPr>
              <w:pStyle w:val="Compac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</w:pPr>
            <w:r>
              <w:t xml:space="preserve">0,997</w:t>
            </w:r>
          </w:p>
        </w:tc>
        <w:tc>
          <w:tcPr/>
          <w:p>
            <w:pPr>
              <w:pStyle w:val="Compact"/>
            </w:pPr>
            <w:r>
              <w:t xml:space="preserve">0,996</w:t>
            </w:r>
          </w:p>
        </w:tc>
        <w:tc>
          <w:tcPr/>
          <w:p>
            <w:pPr>
              <w:pStyle w:val="Compact"/>
            </w:pPr>
            <w:r>
              <w:t xml:space="preserve">0,9965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786</w:t>
            </w:r>
          </w:p>
        </w:tc>
        <w:tc>
          <w:tcPr/>
          <w:p>
            <w:pPr>
              <w:pStyle w:val="Compac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</w:pPr>
            <w:r>
              <w:t xml:space="preserve">187,098</w:t>
            </w:r>
          </w:p>
        </w:tc>
        <w:tc>
          <w:tcPr/>
          <w:p>
            <w:pPr>
              <w:pStyle w:val="Compact"/>
            </w:pPr>
            <w:r>
              <w:t xml:space="preserve">187,114</w:t>
            </w:r>
          </w:p>
        </w:tc>
        <w:tc>
          <w:tcPr/>
          <w:p>
            <w:pPr>
              <w:pStyle w:val="Compact"/>
            </w:pPr>
            <w:r>
              <w:t xml:space="preserve">374,212</w:t>
            </w:r>
          </w:p>
        </w:tc>
        <w:tc>
          <w:tcPr/>
          <w:p>
            <w:pPr>
              <w:pStyle w:val="Compac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</w:pPr>
            <w:r>
              <w:t xml:space="preserve">644,107</w:t>
            </w:r>
          </w:p>
        </w:tc>
        <w:tc>
          <w:tcPr/>
          <w:p>
            <w:pPr>
              <w:pStyle w:val="Compact"/>
            </w:pPr>
            <w:r>
              <w:t xml:space="preserve">644,823</w:t>
            </w:r>
          </w:p>
        </w:tc>
        <w:tc>
          <w:tcPr/>
          <w:p>
            <w:pPr>
              <w:pStyle w:val="Compact"/>
            </w:pPr>
            <w:r>
              <w:t xml:space="preserve">644,465</w:t>
            </w:r>
          </w:p>
        </w:tc>
        <w:tc>
          <w:tcPr/>
          <w:p>
            <w:pPr>
              <w:pStyle w:val="Compac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 что первая модель позволяет обслужить большее число автомобилей. Однако мы видим, что разница между обслуженными и поступившими автомобилями меньше для второй модели – значит, продуктивность работы выше. Также для второй модели коэффициент загрузки равен 1 – значит ни один из пунктов не простаивает. Максимальная длина очереди, средняя длина очереди и среднее время ожидания меньше для второй стратегии. Можно сделать вывод, что вторая стратегия лучше.</w:t>
      </w:r>
    </w:p>
    <w:bookmarkEnd w:id="43"/>
    <w:bookmarkStart w:id="92" w:name="Xf93fd02b9c527d9f12f26d897c7ed4444cb9e0b"/>
    <w:p>
      <w:pPr>
        <w:pStyle w:val="Heading2"/>
      </w:pP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BodyText"/>
      </w:pPr>
      <w:r>
        <w:t xml:space="preserve">коэффициент загрузки пропускных пунктов принадлежит интервалу [0, 5; 0, 95];</w:t>
      </w:r>
      <w:r>
        <w:t xml:space="preserve"> </w:t>
      </w:r>
      <w:r>
        <w:t xml:space="preserve">среднее число автомобилей, одновременно находящихся на контрольно пропускном пункте, не должно превышать 3;</w:t>
      </w:r>
      <w:r>
        <w:t xml:space="preserve"> </w:t>
      </w:r>
      <w:r>
        <w:t xml:space="preserve">среднее время ожидания обслуживания не должно превышать 4 мин.</w:t>
      </w:r>
      <w:r>
        <w:t xml:space="preserve"> </w:t>
      </w:r>
      <w:r>
        <w:t xml:space="preserve">Для обеих стратегий модель с одним пунктом выглядит одинаково (рис.</w:t>
      </w:r>
      <w:r>
        <w:t xml:space="preserve"> </w:t>
      </w:r>
      <w:r>
        <w:t xml:space="preserve">[-@fig:006]</w:t>
      </w:r>
      <w:r>
        <w:t xml:space="preserve">).</w:t>
      </w:r>
    </w:p>
    <w:bookmarkStart w:id="47" w:name="fig:006"/>
    <w:p>
      <w:pPr>
        <w:pStyle w:val="CaptionedFigure"/>
      </w:pPr>
      <w:r>
        <w:drawing>
          <wp:inline>
            <wp:extent cx="3261146" cy="1899138"/>
            <wp:effectExtent b="0" l="0" r="0" t="0"/>
            <wp:docPr descr="Первая оптимизация для первой модели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189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оптимизация для первой модели</w:t>
      </w:r>
    </w:p>
    <w:bookmarkEnd w:id="47"/>
    <w:p>
      <w:pPr>
        <w:pStyle w:val="BodyText"/>
      </w:pPr>
      <w:r>
        <w:t xml:space="preserve">После симуляции получим следующий отчет (рис.</w:t>
      </w:r>
      <w:r>
        <w:t xml:space="preserve"> </w:t>
      </w:r>
      <w:r>
        <w:t xml:space="preserve">[-@fig:007]</w:t>
      </w:r>
      <w:r>
        <w:t xml:space="preserve">).</w:t>
      </w:r>
    </w:p>
    <w:bookmarkStart w:id="51" w:name="fig:007"/>
    <w:p>
      <w:pPr>
        <w:pStyle w:val="CaptionedFigure"/>
      </w:pPr>
      <w:r>
        <w:drawing>
          <wp:inline>
            <wp:extent cx="3733800" cy="3082195"/>
            <wp:effectExtent b="0" l="0" r="0" t="0"/>
            <wp:docPr descr="Отчет первой оптимизаци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первой оптимизации</w:t>
      </w:r>
    </w:p>
    <w:bookmarkEnd w:id="51"/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</w:t>
      </w:r>
      <w:r>
        <w:t xml:space="preserve"> </w:t>
      </w:r>
      <w:r>
        <w:t xml:space="preserve">[-@fig:008]</w:t>
      </w:r>
      <w:r>
        <w:t xml:space="preserve">-</w:t>
      </w:r>
      <w:r>
        <w:t xml:space="preserve"> </w:t>
      </w:r>
      <w:r>
        <w:t xml:space="preserve">[-@fig:010]</w:t>
      </w:r>
      <w:r>
        <w:t xml:space="preserve">).</w:t>
      </w:r>
    </w:p>
    <w:bookmarkStart w:id="55" w:name="fig:008"/>
    <w:p>
      <w:pPr>
        <w:pStyle w:val="CaptionedFigure"/>
      </w:pPr>
      <w:r>
        <w:drawing>
          <wp:inline>
            <wp:extent cx="3733800" cy="3603334"/>
            <wp:effectExtent b="0" l="0" r="0" t="0"/>
            <wp:docPr descr="Вторая оптимизация для первой модел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оптимизация для первой модели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4471465"/>
            <wp:effectExtent b="0" l="0" r="0" t="0"/>
            <wp:docPr descr="Отчет второй оптимизаци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второй оптимизации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705947"/>
            <wp:effectExtent b="0" l="0" r="0" t="0"/>
            <wp:docPr descr="Отчет второй оптимизаци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второй оптимизации</w:t>
      </w:r>
    </w:p>
    <w:bookmarkEnd w:id="63"/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[-@fig:013]</w:t>
      </w:r>
      <w:r>
        <w:t xml:space="preserve">).</w:t>
      </w:r>
    </w:p>
    <w:bookmarkStart w:id="67" w:name="fig:011"/>
    <w:p>
      <w:pPr>
        <w:pStyle w:val="CaptionedFigure"/>
      </w:pPr>
      <w:r>
        <w:drawing>
          <wp:inline>
            <wp:extent cx="3171625" cy="4936481"/>
            <wp:effectExtent b="0" l="0" r="0" t="0"/>
            <wp:docPr descr="Третья оптимизация для первой модели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493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оптимизация для первой модели</w:t>
      </w:r>
    </w:p>
    <w:bookmarkEnd w:id="67"/>
    <w:bookmarkStart w:id="71" w:name="fig:012"/>
    <w:p>
      <w:pPr>
        <w:pStyle w:val="CaptionedFigure"/>
      </w:pPr>
      <w:r>
        <w:drawing>
          <wp:inline>
            <wp:extent cx="3733800" cy="2056706"/>
            <wp:effectExtent b="0" l="0" r="0" t="0"/>
            <wp:docPr descr="Отчет третий оптимизаци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третий оптимизации</w:t>
      </w:r>
    </w:p>
    <w:bookmarkEnd w:id="71"/>
    <w:bookmarkStart w:id="75" w:name="fig:013"/>
    <w:p>
      <w:pPr>
        <w:pStyle w:val="CaptionedFigure"/>
      </w:pPr>
      <w:r>
        <w:drawing>
          <wp:inline>
            <wp:extent cx="3733800" cy="4638799"/>
            <wp:effectExtent b="0" l="0" r="0" t="0"/>
            <wp:docPr descr="Отчет третий оптимизаци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третий оптимизации</w:t>
      </w:r>
    </w:p>
    <w:bookmarkEnd w:id="75"/>
    <w:p>
      <w:pPr>
        <w:pStyle w:val="BodyText"/>
      </w:pPr>
      <w:r>
        <w:t xml:space="preserve">В этом случае все критерии выполнены, поэтому 4 пункта являются оптимальным 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</w:t>
      </w:r>
      <w:r>
        <w:t xml:space="preserve"> </w:t>
      </w:r>
      <w:r>
        <w:t xml:space="preserve">[-@fig:014]</w:t>
      </w:r>
      <w:r>
        <w:t xml:space="preserve">,</w:t>
      </w:r>
      <w:r>
        <w:t xml:space="preserve"> </w:t>
      </w:r>
      <w:r>
        <w:t xml:space="preserve">[-@fig:015]</w:t>
      </w:r>
      <w:r>
        <w:t xml:space="preserve">).</w:t>
      </w:r>
    </w:p>
    <w:bookmarkStart w:id="79" w:name="fig:014"/>
    <w:p>
      <w:pPr>
        <w:pStyle w:val="CaptionedFigure"/>
      </w:pPr>
      <w:r>
        <w:drawing>
          <wp:inline>
            <wp:extent cx="3171625" cy="2193281"/>
            <wp:effectExtent b="0" l="0" r="0" t="0"/>
            <wp:docPr descr="Первая оптимизация для второй модел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21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оптимизация для второй модели</w:t>
      </w:r>
    </w:p>
    <w:bookmarkEnd w:id="79"/>
    <w:bookmarkStart w:id="83" w:name="fig:015"/>
    <w:p>
      <w:pPr>
        <w:pStyle w:val="CaptionedFigure"/>
      </w:pPr>
      <w:r>
        <w:drawing>
          <wp:inline>
            <wp:extent cx="3733800" cy="3435305"/>
            <wp:effectExtent b="0" l="0" r="0" t="0"/>
            <wp:docPr descr="Отчет первой оптимизации второй модели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первой оптимизации второй модели</w:t>
      </w:r>
    </w:p>
    <w:bookmarkEnd w:id="83"/>
    <w:p>
      <w:pPr>
        <w:pStyle w:val="BodyText"/>
      </w:pPr>
      <w:r>
        <w:t xml:space="preserve">В этом случае все критерии выполняются, поэтому модель оптимальна.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</w:t>
      </w:r>
      <w:r>
        <w:t xml:space="preserve"> </w:t>
      </w:r>
      <w:r>
        <w:t xml:space="preserve">[-@fig:016]</w:t>
      </w:r>
      <w:r>
        <w:t xml:space="preserve">,</w:t>
      </w:r>
      <w:r>
        <w:t xml:space="preserve"> </w:t>
      </w:r>
      <w:r>
        <w:t xml:space="preserve">[-@fig:017]</w:t>
      </w:r>
      <w:r>
        <w:t xml:space="preserve">).</w:t>
      </w:r>
    </w:p>
    <w:bookmarkStart w:id="87" w:name="fig:016"/>
    <w:p>
      <w:pPr>
        <w:pStyle w:val="CaptionedFigure"/>
      </w:pPr>
      <w:r>
        <w:drawing>
          <wp:inline>
            <wp:extent cx="3101286" cy="2027026"/>
            <wp:effectExtent b="0" l="0" r="0" t="0"/>
            <wp:docPr descr="Вторая оптимизация для второй модел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86" cy="202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оптимизация для второй модели</w:t>
      </w:r>
    </w:p>
    <w:bookmarkEnd w:id="87"/>
    <w:bookmarkStart w:id="91" w:name="fig:017"/>
    <w:p>
      <w:pPr>
        <w:pStyle w:val="CaptionedFigure"/>
      </w:pPr>
      <w:r>
        <w:drawing>
          <wp:inline>
            <wp:extent cx="3733800" cy="3504987"/>
            <wp:effectExtent b="0" l="0" r="0" t="0"/>
            <wp:docPr descr="Отчет второй оптимизации второй модели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второй оптимизации второй модели</w:t>
      </w:r>
    </w:p>
    <w:bookmarkEnd w:id="91"/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 3 при втором типе обслуживания и 4 при первом.</w:t>
      </w:r>
    </w:p>
    <w:bookmarkEnd w:id="92"/>
    <w:bookmarkEnd w:id="93"/>
    <w:bookmarkStart w:id="9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 обсуживания</w:t>
      </w:r>
    </w:p>
    <w:p>
      <w:pPr>
        <w:pStyle w:val="Compact"/>
        <w:numPr>
          <w:ilvl w:val="0"/>
          <w:numId w:val="1001"/>
        </w:numPr>
      </w:pPr>
      <w:r>
        <w:t xml:space="preserve">с одной очередью обслуживания</w:t>
      </w:r>
    </w:p>
    <w:p>
      <w:pPr>
        <w:pStyle w:val="Compact"/>
        <w:numPr>
          <w:ilvl w:val="0"/>
          <w:numId w:val="1001"/>
        </w:numPr>
      </w:pPr>
      <w:r>
        <w:t xml:space="preserve">Сделать сравнение двух моделей и обозначить оптимальное количество пропускных пунктов</w:t>
      </w:r>
    </w:p>
    <w:bookmarkEnd w:id="94"/>
    <w:bookmarkStart w:id="9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</w:pPr>
      <w:r>
        <w:t xml:space="preserve">Королькова А. В., Кулябов Д. С. Модели обработки заказов</w:t>
      </w:r>
    </w:p>
    <w:p>
      <w:pPr>
        <w:numPr>
          <w:ilvl w:val="0"/>
          <w:numId w:val="1002"/>
        </w:numPr>
      </w:pPr>
      <w:r>
        <w:t xml:space="preserve">Королькова А. В., Кулябов Д. С. Имитационное моделирование в GPSS</w:t>
      </w:r>
    </w:p>
    <w:bookmarkEnd w:id="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Извекова Мария Петровна</dc:creator>
  <dc:language>ru-RU</dc:language>
  <cp:keywords/>
  <dcterms:created xsi:type="dcterms:W3CDTF">2025-05-24T16:55:32Z</dcterms:created>
  <dcterms:modified xsi:type="dcterms:W3CDTF">2025-05-24T16:55:32Z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Задачи оптимизации. Модель двух стратегий обслуживания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