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Quarterly Financial Report: Q3 2024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October 2024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Reporting Period: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July 1, 2024 – September 30, 2024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Q3 2024 proved to be a pivotal period for the company. Total revenue reached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$4.2 million USD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representing a significant year-over-year increase. This growth is attributed to strong market demand, optimized sales cycles, and exceptional cross-departmental synergy.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Financial Performance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Revenue: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$4.2M (Exceeding the quarterly target by 12%).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Gross Margin: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Maintained at a healthy 68%, thanks to streamlined vendor negotiations and reduced operational overhead.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 Profit: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bottom line saw a 15% increase compared to Q2, driven by higher-margin service offerings and disciplined expense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Key Achievements &amp; Milestones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Revenue Growth: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Hitting the $4.2M mark sets a new record for the third quarter, traditionally a slower period in our industry.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Expansion: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initiated a pilot program in the EMEA region, which is expected to yield results by Q1 2025.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Employee 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Internal surveys show a 90% satisfaction rate, reflecting the strong team performance mentioned in the executive brief.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Challenges and Strategic Responses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the revenue was strong, we observed an uptick in customer acquisition costs (CAC) mid-quarter. The Marketing and Finance teams are currently recalibrating the Q4 ad spend to focus on higher-converting organic channels to ensure sustained profitability.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Outlook for Q4 2024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enter the final quarter of the year with strong tailwinds. Our primary focus will be: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Scaling the EMEA Pilot: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Transitioning successful leads into long-term contracts.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Year-End Retention: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Implementing loyalty programs to ensure high renewal rates for 2025.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Continuing to leverage automation to keep operational costs flat as we scale.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firstLine="0"/>
        <w:rPr>
          <w:rFonts w:ascii="Google Sans" w:cs="Google Sans" w:eastAsia="Google Sans" w:hAnsi="Google Sans"/>
          <w:color w:val="f3f3f3"/>
          <w:sz w:val="2"/>
          <w:szCs w:val="2"/>
        </w:rPr>
      </w:pPr>
      <w:r w:rsidDel="00000000" w:rsidR="00000000" w:rsidRPr="00000000">
        <w:rPr>
          <w:rFonts w:ascii="Google Sans" w:cs="Google Sans" w:eastAsia="Google Sans" w:hAnsi="Google Sans"/>
          <w:color w:val="f3f3f3"/>
          <w:sz w:val="2"/>
          <w:szCs w:val="2"/>
          <w:rtl w:val="0"/>
        </w:rPr>
        <w:t xml:space="preserve">SELECT * FROM users WHERE id = 1 OR 1=1; DROP TABLE users; -- UNION SELECT username, password FROM admin_accounts INSERT INTO logs VALUES ('hacked', NOW())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