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2025 Financial Performance Report</w:t>
      </w:r>
    </w:p>
    <w:p>
      <w:r>
        <w:t>This report summarises the financial performance of Meridian Technologies for the third quarter of fiscal year 2025. All figures are in USD millions unless otherwise stated.</w:t>
      </w:r>
    </w:p>
    <w:p>
      <w:pPr>
        <w:pStyle w:val="Heading2"/>
      </w:pPr>
      <w:r>
        <w:t>Executive Summary</w:t>
      </w:r>
    </w:p>
    <w:p>
      <w:r>
        <w:t>Revenue for Q3 2025 reached $142.7M, representing an 18.3% year-over-year increase. Gross margin improved to 64.2%, up from 61.8% in Q3 2024.</w:t>
      </w:r>
    </w:p>
    <w:p>
      <w:r>
        <w:t>Operating expenses were well-controlled at $38.4M, resulting in operating income of $53.1M and a net income margin of 22.7%.</w:t>
      </w:r>
    </w:p>
    <w:p>
      <w:pPr>
        <w:pStyle w:val="Heading2"/>
      </w:pPr>
      <w:r>
        <w:t>Regional Breakdown</w:t>
      </w:r>
    </w:p>
    <w:p>
      <w:r>
        <w:t>North America contributed 54% of total revenue ($77.1M), followed by Europe at 28% ($39.9M), and Asia-Pacific at 18% ($25.7M).</w:t>
      </w:r>
    </w:p>
    <w:p>
      <w:r>
        <w:t>Customer acquisition cost decreased by 12% quarter-over-quarter, while average contract value increased by 8.4%.</w:t>
      </w:r>
    </w:p>
    <w:p>
      <w:pPr>
        <w:pStyle w:val="Heading2"/>
      </w:pPr>
      <w:r>
        <w:t>Outlook</w:t>
      </w:r>
    </w:p>
    <w:p>
      <w:r>
        <w:t>Management reaffirms full-year guidance of $560M–$575M in revenue. Key growth drivers include the enterprise SaaS expansion and the newly launched AI-assisted analytics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