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2EC1D" w14:textId="77777777" w:rsidR="576062CF" w:rsidRDefault="576062CF" w:rsidP="00FD478C"/>
    <w:p w14:paraId="7748CF20" w14:textId="77777777" w:rsidR="576062CF" w:rsidRDefault="576062CF" w:rsidP="00FD478C"/>
    <w:p w14:paraId="3F3F007A" w14:textId="77777777" w:rsidR="576062CF" w:rsidRDefault="576062CF" w:rsidP="00FD478C"/>
    <w:p w14:paraId="6F0219EA" w14:textId="77777777" w:rsidR="576062CF" w:rsidRPr="00F80380" w:rsidRDefault="576062CF" w:rsidP="00FD478C">
      <w:pPr>
        <w:rPr>
          <w:rFonts w:asciiTheme="majorBidi" w:hAnsiTheme="majorBidi" w:cstheme="majorBidi"/>
        </w:rPr>
      </w:pPr>
    </w:p>
    <w:p w14:paraId="790F2417" w14:textId="5284B8AA" w:rsidR="576062CF" w:rsidRPr="002C253D" w:rsidRDefault="00034CD7" w:rsidP="00FD478C">
      <w:pPr>
        <w:pStyle w:val="Subtitle"/>
        <w:rPr>
          <w:rFonts w:asciiTheme="majorBidi" w:hAnsiTheme="majorBidi" w:cstheme="majorBidi"/>
          <w:sz w:val="24"/>
          <w:szCs w:val="24"/>
        </w:rPr>
      </w:pPr>
      <w:r w:rsidRPr="002C253D">
        <w:rPr>
          <w:rFonts w:asciiTheme="majorBidi" w:hAnsiTheme="majorBidi" w:cstheme="majorBidi"/>
          <w:b/>
          <w:bCs/>
          <w:sz w:val="24"/>
          <w:szCs w:val="24"/>
        </w:rPr>
        <w:t>Title: The Influence of Commodity Returns (Gold and Oil) on Stock Market Indices (S&amp;P 500 and NASDAQ) in 2024</w:t>
      </w:r>
    </w:p>
    <w:p w14:paraId="54E87818" w14:textId="51C88C04" w:rsidR="00FD478C" w:rsidRPr="00F80380" w:rsidRDefault="00034CD7" w:rsidP="00FD478C">
      <w:pPr>
        <w:pStyle w:val="Subtitle"/>
        <w:rPr>
          <w:rFonts w:asciiTheme="majorBidi" w:hAnsiTheme="majorBidi" w:cstheme="majorBidi"/>
        </w:rPr>
      </w:pPr>
      <w:r w:rsidRPr="00F80380">
        <w:rPr>
          <w:rFonts w:asciiTheme="majorBidi" w:hAnsiTheme="majorBidi" w:cstheme="majorBidi"/>
        </w:rPr>
        <w:t>Author: Mariem Briki</w:t>
      </w:r>
    </w:p>
    <w:p w14:paraId="4D0D3217" w14:textId="77777777" w:rsidR="00034CD7" w:rsidRPr="00F80380" w:rsidRDefault="00034CD7" w:rsidP="00FD478C">
      <w:pPr>
        <w:pStyle w:val="Subtitle"/>
        <w:rPr>
          <w:rFonts w:asciiTheme="majorBidi" w:hAnsiTheme="majorBidi" w:cstheme="majorBidi"/>
        </w:rPr>
      </w:pPr>
      <w:r w:rsidRPr="00F80380">
        <w:rPr>
          <w:rFonts w:asciiTheme="majorBidi" w:hAnsiTheme="majorBidi" w:cstheme="majorBidi"/>
        </w:rPr>
        <w:t>BA Business Analytics 2023-2026</w:t>
      </w:r>
    </w:p>
    <w:p w14:paraId="755426BA" w14:textId="666526C0" w:rsidR="00FD478C" w:rsidRPr="00F80380" w:rsidRDefault="00034CD7" w:rsidP="00FD478C">
      <w:pPr>
        <w:pStyle w:val="Subtitle"/>
        <w:rPr>
          <w:rFonts w:asciiTheme="majorBidi" w:hAnsiTheme="majorBidi" w:cstheme="majorBidi"/>
        </w:rPr>
      </w:pPr>
      <w:r w:rsidRPr="00F80380">
        <w:rPr>
          <w:rFonts w:asciiTheme="majorBidi" w:hAnsiTheme="majorBidi" w:cstheme="majorBidi"/>
        </w:rPr>
        <w:t>Marie Curie-Sklodowska University</w:t>
      </w:r>
      <w:r w:rsidR="00FD478C" w:rsidRPr="00F80380">
        <w:rPr>
          <w:rFonts w:asciiTheme="majorBidi" w:hAnsiTheme="majorBidi" w:cstheme="majorBidi"/>
        </w:rPr>
        <w:t xml:space="preserve"> </w:t>
      </w:r>
    </w:p>
    <w:p w14:paraId="385EB0FF" w14:textId="27E538A5" w:rsidR="00FD478C" w:rsidRDefault="00034CD7" w:rsidP="00FD478C">
      <w:pPr>
        <w:pStyle w:val="Subtitle"/>
        <w:rPr>
          <w:rFonts w:asciiTheme="majorBidi" w:hAnsiTheme="majorBidi" w:cstheme="majorBidi"/>
        </w:rPr>
      </w:pPr>
      <w:r w:rsidRPr="00F80380">
        <w:rPr>
          <w:rFonts w:asciiTheme="majorBidi" w:hAnsiTheme="majorBidi" w:cstheme="majorBidi"/>
        </w:rPr>
        <w:t>Course:</w:t>
      </w:r>
      <w:r w:rsidR="00FD478C" w:rsidRPr="00F80380">
        <w:rPr>
          <w:rFonts w:asciiTheme="majorBidi" w:hAnsiTheme="majorBidi" w:cstheme="majorBidi"/>
        </w:rPr>
        <w:t xml:space="preserve"> </w:t>
      </w:r>
      <w:r w:rsidRPr="00F80380">
        <w:rPr>
          <w:rFonts w:asciiTheme="majorBidi" w:hAnsiTheme="majorBidi" w:cstheme="majorBidi"/>
        </w:rPr>
        <w:t>Econometrics</w:t>
      </w:r>
    </w:p>
    <w:p w14:paraId="0EB20BF6" w14:textId="30ACE64A" w:rsidR="006C37EA" w:rsidRDefault="006C37EA" w:rsidP="006C37EA">
      <w:pPr>
        <w:pStyle w:val="Subtitle"/>
        <w:rPr>
          <w:rFonts w:asciiTheme="majorBidi" w:hAnsiTheme="majorBidi" w:cstheme="majorBidi"/>
        </w:rPr>
      </w:pPr>
      <w:r w:rsidRPr="006C37EA">
        <w:rPr>
          <w:rFonts w:asciiTheme="majorBidi" w:hAnsiTheme="majorBidi" w:cstheme="majorBidi"/>
        </w:rPr>
        <w:t>Course Instructor: mgr</w:t>
      </w:r>
      <w:r>
        <w:rPr>
          <w:rFonts w:asciiTheme="majorBidi" w:hAnsiTheme="majorBidi" w:cstheme="majorBidi"/>
        </w:rPr>
        <w:t>.</w:t>
      </w:r>
      <w:r w:rsidRPr="006C37EA">
        <w:rPr>
          <w:rFonts w:asciiTheme="majorBidi" w:hAnsiTheme="majorBidi" w:cstheme="majorBidi"/>
        </w:rPr>
        <w:t xml:space="preserve"> Arlet</w:t>
      </w:r>
      <w:r>
        <w:rPr>
          <w:rFonts w:asciiTheme="majorBidi" w:hAnsiTheme="majorBidi" w:cstheme="majorBidi"/>
        </w:rPr>
        <w:t>a</w:t>
      </w:r>
      <w:r w:rsidRPr="006C37EA">
        <w:rPr>
          <w:rFonts w:asciiTheme="majorBidi" w:hAnsiTheme="majorBidi" w:cstheme="majorBidi"/>
        </w:rPr>
        <w:t xml:space="preserve"> Kedra</w:t>
      </w:r>
    </w:p>
    <w:p w14:paraId="79BFDEE7" w14:textId="03A5779B" w:rsidR="005B2DB9" w:rsidRPr="005B2DB9" w:rsidRDefault="005B2DB9" w:rsidP="005B2DB9">
      <w:r>
        <w:rPr>
          <w:rFonts w:asciiTheme="majorBidi" w:hAnsiTheme="majorBidi" w:cstheme="majorBidi"/>
        </w:rPr>
        <w:t xml:space="preserve">                                              </w:t>
      </w:r>
      <w:r w:rsidR="0038173B">
        <w:rPr>
          <w:rFonts w:asciiTheme="majorBidi" w:hAnsiTheme="majorBidi" w:cstheme="majorBidi"/>
        </w:rPr>
        <w:t xml:space="preserve"> </w:t>
      </w:r>
      <w:r w:rsidR="00930BE8">
        <w:rPr>
          <w:rFonts w:asciiTheme="majorBidi" w:hAnsiTheme="majorBidi" w:cstheme="majorBidi"/>
        </w:rPr>
        <w:t xml:space="preserve"> </w:t>
      </w:r>
      <w:r w:rsidRPr="005B2DB9">
        <w:rPr>
          <w:rFonts w:asciiTheme="majorBidi" w:hAnsiTheme="majorBidi" w:cstheme="majorBidi"/>
        </w:rPr>
        <w:t>Date of report: 28 April, 2024</w:t>
      </w:r>
    </w:p>
    <w:p w14:paraId="23B8F131" w14:textId="16C59A15" w:rsidR="576062CF" w:rsidRDefault="576062CF" w:rsidP="00DF3215"/>
    <w:p w14:paraId="0909B461" w14:textId="77777777" w:rsidR="717E282B" w:rsidRDefault="717E282B" w:rsidP="00DF3215"/>
    <w:p w14:paraId="54599CF7" w14:textId="77777777" w:rsidR="717E282B" w:rsidRDefault="717E282B" w:rsidP="00DF3215"/>
    <w:p w14:paraId="0CE7A49F" w14:textId="77777777" w:rsidR="717E282B" w:rsidRDefault="717E282B" w:rsidP="00DF3215"/>
    <w:p w14:paraId="5C2014A6" w14:textId="77777777" w:rsidR="709762D6" w:rsidRDefault="709762D6" w:rsidP="00CA75C2">
      <w:pPr>
        <w:ind w:firstLine="0"/>
      </w:pPr>
    </w:p>
    <w:p w14:paraId="55C51119" w14:textId="77777777" w:rsidR="717E282B" w:rsidRDefault="717E282B" w:rsidP="00DF3215"/>
    <w:p w14:paraId="042DE266" w14:textId="77777777" w:rsidR="5643BF48" w:rsidRPr="005B2DB9" w:rsidRDefault="5643BF48" w:rsidP="005B2DB9">
      <w:pPr>
        <w:rPr>
          <w:rFonts w:asciiTheme="majorBidi" w:hAnsiTheme="majorBidi" w:cstheme="majorBidi"/>
        </w:rPr>
      </w:pPr>
    </w:p>
    <w:p w14:paraId="6F530F43" w14:textId="23614468" w:rsidR="733B038C" w:rsidRPr="005B2DB9" w:rsidRDefault="005B2DB9" w:rsidP="005B2DB9">
      <w:pPr>
        <w:rPr>
          <w:rFonts w:asciiTheme="majorBidi" w:hAnsiTheme="majorBidi" w:cstheme="majorBidi"/>
        </w:rPr>
      </w:pPr>
      <w:r>
        <w:rPr>
          <w:rFonts w:asciiTheme="majorBidi" w:hAnsiTheme="majorBidi" w:cstheme="majorBidi"/>
        </w:rPr>
        <w:t xml:space="preserve">                                              </w:t>
      </w:r>
    </w:p>
    <w:p w14:paraId="447D8656" w14:textId="77777777" w:rsidR="576062CF" w:rsidRDefault="00000000" w:rsidP="00FD478C">
      <w:pPr>
        <w:pStyle w:val="SectionTitle"/>
      </w:pPr>
      <w:sdt>
        <w:sdtPr>
          <w:id w:val="961846934"/>
          <w:placeholder>
            <w:docPart w:val="B3F0C0082AD34DC2A9F5D62EB48E832A"/>
          </w:placeholder>
          <w:temporary/>
          <w:showingPlcHdr/>
          <w15:appearance w15:val="hidden"/>
        </w:sdtPr>
        <w:sdtContent>
          <w:r w:rsidR="00FD478C" w:rsidRPr="004E516E">
            <w:rPr>
              <w:rFonts w:asciiTheme="majorBidi" w:hAnsiTheme="majorBidi" w:cstheme="majorBidi"/>
            </w:rPr>
            <w:t>Author Note</w:t>
          </w:r>
        </w:sdtContent>
      </w:sdt>
      <w:r w:rsidR="00FD478C" w:rsidRPr="00FD478C">
        <w:t xml:space="preserve"> </w:t>
      </w:r>
    </w:p>
    <w:p w14:paraId="1E976876" w14:textId="476CDD83" w:rsidR="00FD478C" w:rsidRPr="00CA75C2" w:rsidRDefault="00CA75C2" w:rsidP="00CA75C2">
      <w:pPr>
        <w:spacing w:line="276" w:lineRule="auto"/>
        <w:ind w:firstLine="0"/>
        <w:rPr>
          <w:rFonts w:asciiTheme="majorBidi" w:hAnsiTheme="majorBidi" w:cstheme="majorBidi"/>
        </w:rPr>
      </w:pPr>
      <w:r w:rsidRPr="00CA75C2">
        <w:rPr>
          <w:rFonts w:asciiTheme="majorBidi" w:hAnsiTheme="majorBidi" w:cstheme="majorBidi"/>
        </w:rPr>
        <w:t>This project was prepared by Mariem Briki as part of the course requirements for the Econometrics course taught by mgr</w:t>
      </w:r>
      <w:r w:rsidR="007E79AD">
        <w:rPr>
          <w:rFonts w:asciiTheme="majorBidi" w:hAnsiTheme="majorBidi" w:cstheme="majorBidi"/>
        </w:rPr>
        <w:t>.</w:t>
      </w:r>
      <w:r w:rsidRPr="00CA75C2">
        <w:rPr>
          <w:rFonts w:asciiTheme="majorBidi" w:hAnsiTheme="majorBidi" w:cstheme="majorBidi"/>
        </w:rPr>
        <w:t xml:space="preserve"> Arlet</w:t>
      </w:r>
      <w:r>
        <w:rPr>
          <w:rFonts w:asciiTheme="majorBidi" w:hAnsiTheme="majorBidi" w:cstheme="majorBidi"/>
        </w:rPr>
        <w:t>a</w:t>
      </w:r>
      <w:r w:rsidRPr="00CA75C2">
        <w:rPr>
          <w:rFonts w:asciiTheme="majorBidi" w:hAnsiTheme="majorBidi" w:cstheme="majorBidi"/>
        </w:rPr>
        <w:t xml:space="preserve"> Kedra at Marie Curie-Skłodowska University. The work is an original student submission conducted during the spring semester of 2025.</w:t>
      </w:r>
    </w:p>
    <w:p w14:paraId="318F3AD4" w14:textId="77777777" w:rsidR="576062CF" w:rsidRPr="00CA75C2" w:rsidRDefault="576062CF" w:rsidP="576062CF">
      <w:pPr>
        <w:rPr>
          <w:rFonts w:asciiTheme="majorBidi" w:hAnsiTheme="majorBidi" w:cstheme="majorBidi"/>
        </w:rPr>
      </w:pPr>
      <w:r w:rsidRPr="00CA75C2">
        <w:rPr>
          <w:rFonts w:asciiTheme="majorBidi" w:hAnsiTheme="majorBidi" w:cstheme="majorBidi"/>
        </w:rPr>
        <w:br w:type="page"/>
      </w:r>
    </w:p>
    <w:p w14:paraId="5ED0A730" w14:textId="77777777" w:rsidR="00904DBE" w:rsidRPr="0055683F" w:rsidRDefault="00000000" w:rsidP="00904DBE">
      <w:pPr>
        <w:pStyle w:val="SectionTitle"/>
        <w:rPr>
          <w:rFonts w:asciiTheme="majorBidi" w:hAnsiTheme="majorBidi" w:cstheme="majorBidi"/>
        </w:rPr>
      </w:pPr>
      <w:sdt>
        <w:sdtPr>
          <w:id w:val="-1254123792"/>
          <w:placeholder>
            <w:docPart w:val="DDBBC5AD064148C59501A15952E7FF47"/>
          </w:placeholder>
          <w:temporary/>
          <w:showingPlcHdr/>
          <w15:appearance w15:val="hidden"/>
        </w:sdtPr>
        <w:sdtEndPr>
          <w:rPr>
            <w:rFonts w:asciiTheme="majorBidi" w:hAnsiTheme="majorBidi" w:cstheme="majorBidi"/>
          </w:rPr>
        </w:sdtEndPr>
        <w:sdtContent>
          <w:r w:rsidR="00904DBE" w:rsidRPr="0055683F">
            <w:rPr>
              <w:rFonts w:asciiTheme="majorBidi" w:hAnsiTheme="majorBidi" w:cstheme="majorBidi"/>
            </w:rPr>
            <w:t>Abstract</w:t>
          </w:r>
        </w:sdtContent>
      </w:sdt>
      <w:r w:rsidR="00904DBE" w:rsidRPr="0055683F">
        <w:rPr>
          <w:rFonts w:asciiTheme="majorBidi" w:hAnsiTheme="majorBidi" w:cstheme="majorBidi"/>
        </w:rPr>
        <w:t xml:space="preserve"> </w:t>
      </w:r>
    </w:p>
    <w:p w14:paraId="05AAC3EB" w14:textId="40CE5A29" w:rsidR="576062CF" w:rsidRPr="000A143B" w:rsidRDefault="000A143B" w:rsidP="000A143B">
      <w:pPr>
        <w:pStyle w:val="NoIndent"/>
        <w:rPr>
          <w:rFonts w:asciiTheme="majorBidi" w:hAnsiTheme="majorBidi" w:cstheme="majorBidi"/>
        </w:rPr>
      </w:pPr>
      <w:r w:rsidRPr="000A143B">
        <w:rPr>
          <w:rFonts w:asciiTheme="majorBidi" w:hAnsiTheme="majorBidi" w:cstheme="majorBidi"/>
        </w:rPr>
        <w:t>This research explores the dynamic relationship between major commodities—Gold and Oil—and stock market indices, namely the S&amp;P 500 and NASDAQ, during the year 2024. Recognizing the increasing relevance of commodities in financial market volatility, this project utilizes econometric modeling to quantify the impact of commodity returns on stock index performance. The findings reveal that Gold significantly influences S&amp;P 500 returns, while Oil returns are a major determinant of NASDAQ performance. Through a rigorous methodology involving assumption verification and statistical validation, the study offers insights into cross-market interactions and suggests avenues for future exploration.</w:t>
      </w:r>
    </w:p>
    <w:p w14:paraId="19785DB9" w14:textId="2C58E88D" w:rsidR="576062CF" w:rsidRDefault="00000000" w:rsidP="00BC6C8F">
      <w:sdt>
        <w:sdtPr>
          <w:rPr>
            <w:rStyle w:val="Emphasis"/>
          </w:rPr>
          <w:id w:val="1557668240"/>
          <w:placeholder>
            <w:docPart w:val="F62DD05E07574B70B0DFE3493F49FD2F"/>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r w:rsidR="00BC6C8F" w:rsidRPr="00BC6C8F">
        <w:t>Gold Returns, Oil Returns, Stock Market Indices, S&amp;P 500, NASDAQ, Econometric Modeling, Financial Analysis, Market Volatility</w:t>
      </w:r>
      <w:r w:rsidR="00BC6C8F">
        <w:t>.</w:t>
      </w:r>
      <w:r w:rsidR="576062CF">
        <w:br w:type="page"/>
      </w:r>
    </w:p>
    <w:p w14:paraId="39B047E5" w14:textId="6CA75141" w:rsidR="00500997" w:rsidRPr="000B65B4" w:rsidRDefault="000B65B4" w:rsidP="000B65B4">
      <w:pPr>
        <w:pStyle w:val="SectionTitle"/>
        <w:numPr>
          <w:ilvl w:val="0"/>
          <w:numId w:val="1"/>
        </w:numPr>
        <w:jc w:val="left"/>
        <w:rPr>
          <w:rFonts w:asciiTheme="majorBidi" w:hAnsiTheme="majorBidi" w:cstheme="majorBidi"/>
        </w:rPr>
      </w:pPr>
      <w:r w:rsidRPr="000B65B4">
        <w:rPr>
          <w:rFonts w:asciiTheme="majorBidi" w:hAnsiTheme="majorBidi" w:cstheme="majorBidi"/>
        </w:rPr>
        <w:lastRenderedPageBreak/>
        <w:t>Introduction</w:t>
      </w:r>
      <w:r w:rsidR="00500997" w:rsidRPr="000B65B4">
        <w:rPr>
          <w:rFonts w:asciiTheme="majorBidi" w:hAnsiTheme="majorBidi" w:cstheme="majorBidi"/>
        </w:rPr>
        <w:t xml:space="preserve"> </w:t>
      </w:r>
    </w:p>
    <w:p w14:paraId="6015FE37" w14:textId="56E6DDD6" w:rsidR="000B65B4" w:rsidRPr="000B65B4" w:rsidRDefault="000B65B4" w:rsidP="000B65B4">
      <w:pPr>
        <w:spacing w:after="240"/>
        <w:rPr>
          <w:rFonts w:asciiTheme="majorBidi" w:hAnsiTheme="majorBidi" w:cstheme="majorBidi"/>
        </w:rPr>
      </w:pPr>
      <w:r w:rsidRPr="000B65B4">
        <w:rPr>
          <w:rFonts w:asciiTheme="majorBidi" w:hAnsiTheme="majorBidi" w:cstheme="majorBidi"/>
        </w:rPr>
        <w:t>Understanding the influence of commodities on stock markets is crucial in financial economics. Gold serves as a hedge against financial market volatility (</w:t>
      </w:r>
      <w:r w:rsidRPr="000B65B4">
        <w:rPr>
          <w:rFonts w:asciiTheme="majorBidi" w:hAnsiTheme="majorBidi" w:cstheme="majorBidi"/>
          <w:i/>
          <w:iCs/>
        </w:rPr>
        <w:t>Baur &amp; Lucey, 2010</w:t>
      </w:r>
      <w:r w:rsidRPr="000B65B4">
        <w:rPr>
          <w:rFonts w:asciiTheme="majorBidi" w:hAnsiTheme="majorBidi" w:cstheme="majorBidi"/>
        </w:rPr>
        <w:t>), while oil prices have a direct impact on macroeconomic activity and stock market performance (</w:t>
      </w:r>
      <w:r w:rsidRPr="000B65B4">
        <w:rPr>
          <w:rFonts w:asciiTheme="majorBidi" w:hAnsiTheme="majorBidi" w:cstheme="majorBidi"/>
          <w:i/>
          <w:iCs/>
        </w:rPr>
        <w:t>Sadorsky, 1999</w:t>
      </w:r>
      <w:r w:rsidRPr="000B65B4">
        <w:rPr>
          <w:rFonts w:asciiTheme="majorBidi" w:hAnsiTheme="majorBidi" w:cstheme="majorBidi"/>
        </w:rPr>
        <w:t>). This study explores the impact of Gold and Oil returns on the S&amp;P 500 and NASDAQ indices during the year 2024.</w:t>
      </w:r>
    </w:p>
    <w:p w14:paraId="61AAE201" w14:textId="6015A145" w:rsidR="576062CF" w:rsidRPr="000B65B4" w:rsidRDefault="000B65B4" w:rsidP="000B65B4">
      <w:pPr>
        <w:pStyle w:val="Heading1"/>
        <w:numPr>
          <w:ilvl w:val="0"/>
          <w:numId w:val="1"/>
        </w:numPr>
        <w:jc w:val="left"/>
        <w:rPr>
          <w:rFonts w:asciiTheme="majorBidi" w:hAnsiTheme="majorBidi" w:cstheme="majorBidi"/>
        </w:rPr>
      </w:pPr>
      <w:r w:rsidRPr="000B65B4">
        <w:rPr>
          <w:rFonts w:asciiTheme="majorBidi" w:hAnsiTheme="majorBidi" w:cstheme="majorBidi"/>
        </w:rPr>
        <w:t>Literature Review</w:t>
      </w:r>
    </w:p>
    <w:p w14:paraId="1951AAAC" w14:textId="7DA4724E" w:rsidR="000B65B4" w:rsidRDefault="000B65B4" w:rsidP="000B65B4">
      <w:pPr>
        <w:spacing w:after="240"/>
        <w:rPr>
          <w:rFonts w:asciiTheme="majorBidi" w:hAnsiTheme="majorBidi" w:cstheme="majorBidi"/>
        </w:rPr>
      </w:pPr>
      <w:r w:rsidRPr="000B65B4">
        <w:rPr>
          <w:rFonts w:asciiTheme="majorBidi" w:hAnsiTheme="majorBidi" w:cstheme="majorBidi"/>
        </w:rPr>
        <w:t xml:space="preserve">Baur and Lucey (2010) analyzed gold's behavior as a hedge and safe haven, finding gold effective in extreme market downturns. Sadorsky (1999) demonstrated that oil price volatility significantly influences stock returns and market risk. Kilian and Park (2009) differentiated between oil demand and supply shocks, showing nuanced effects on stock returns. Narayan and Narayan (2010) modeled oil price volatility and its transmission to financial markets. Hammoudeh and Aleisa (2004) explored dynamic linkages between GCC stock markets and NYMEX oil futures, highlighting cross-market dependencies. </w:t>
      </w:r>
    </w:p>
    <w:p w14:paraId="6F9DD2BF" w14:textId="2273D3DF" w:rsidR="000B65B4" w:rsidRPr="000B65B4" w:rsidRDefault="000B65B4" w:rsidP="000B65B4">
      <w:pPr>
        <w:pStyle w:val="SectionTitle"/>
        <w:numPr>
          <w:ilvl w:val="0"/>
          <w:numId w:val="1"/>
        </w:numPr>
        <w:jc w:val="left"/>
        <w:rPr>
          <w:rFonts w:asciiTheme="majorBidi" w:hAnsiTheme="majorBidi" w:cstheme="majorBidi"/>
        </w:rPr>
      </w:pPr>
      <w:r>
        <w:rPr>
          <w:rFonts w:asciiTheme="majorBidi" w:hAnsiTheme="majorBidi" w:cstheme="majorBidi"/>
        </w:rPr>
        <w:t>Research Question and Hypotheses</w:t>
      </w:r>
      <w:r w:rsidRPr="000B65B4">
        <w:rPr>
          <w:rFonts w:asciiTheme="majorBidi" w:hAnsiTheme="majorBidi" w:cstheme="majorBidi"/>
        </w:rPr>
        <w:t xml:space="preserve"> </w:t>
      </w:r>
    </w:p>
    <w:p w14:paraId="4DF37A7A" w14:textId="11C8DCDE" w:rsidR="000B65B4" w:rsidRPr="000B65B4" w:rsidRDefault="000B65B4" w:rsidP="000B65B4">
      <w:pPr>
        <w:ind w:firstLine="0"/>
        <w:rPr>
          <w:rFonts w:asciiTheme="majorBidi" w:hAnsiTheme="majorBidi" w:cstheme="majorBidi"/>
        </w:rPr>
      </w:pPr>
      <w:r w:rsidRPr="000B65B4">
        <w:rPr>
          <w:rFonts w:asciiTheme="majorBidi" w:hAnsiTheme="majorBidi" w:cstheme="majorBidi"/>
        </w:rPr>
        <w:t>Research Question: How do Gold and Oil returns impact S&amp;P 500 and NASDAQ returns during 2024?</w:t>
      </w:r>
    </w:p>
    <w:p w14:paraId="10AE84CC" w14:textId="77777777" w:rsidR="000B65B4" w:rsidRPr="000B65B4" w:rsidRDefault="000B65B4" w:rsidP="000B65B4">
      <w:pPr>
        <w:rPr>
          <w:rFonts w:asciiTheme="majorBidi" w:hAnsiTheme="majorBidi" w:cstheme="majorBidi"/>
        </w:rPr>
      </w:pPr>
      <w:r w:rsidRPr="000B65B4">
        <w:rPr>
          <w:rFonts w:asciiTheme="majorBidi" w:hAnsiTheme="majorBidi" w:cstheme="majorBidi"/>
        </w:rPr>
        <w:t>Hypotheses:</w:t>
      </w:r>
    </w:p>
    <w:p w14:paraId="12293DDC" w14:textId="77777777" w:rsidR="000B65B4" w:rsidRPr="000B65B4" w:rsidRDefault="000B65B4" w:rsidP="000B65B4">
      <w:pPr>
        <w:rPr>
          <w:rFonts w:asciiTheme="majorBidi" w:hAnsiTheme="majorBidi" w:cstheme="majorBidi"/>
        </w:rPr>
      </w:pPr>
      <w:r w:rsidRPr="000B65B4">
        <w:rPr>
          <w:rFonts w:asciiTheme="majorBidi" w:hAnsiTheme="majorBidi" w:cstheme="majorBidi"/>
        </w:rPr>
        <w:t xml:space="preserve">- </w:t>
      </w:r>
      <w:r w:rsidRPr="000B65B4">
        <w:rPr>
          <w:rFonts w:asciiTheme="majorBidi" w:hAnsiTheme="majorBidi" w:cstheme="majorBidi"/>
          <w:b/>
          <w:bCs/>
        </w:rPr>
        <w:t>H₀</w:t>
      </w:r>
      <w:r w:rsidRPr="000B65B4">
        <w:rPr>
          <w:rFonts w:asciiTheme="majorBidi" w:hAnsiTheme="majorBidi" w:cstheme="majorBidi"/>
        </w:rPr>
        <w:t>: Gold and Oil returns have no significant impact on S&amp;P 500 and NASDAQ returns.</w:t>
      </w:r>
    </w:p>
    <w:p w14:paraId="346EFDC6" w14:textId="3F511936" w:rsidR="00E800D4" w:rsidRDefault="000B65B4" w:rsidP="00E800D4">
      <w:pPr>
        <w:spacing w:after="240"/>
        <w:rPr>
          <w:rFonts w:asciiTheme="majorBidi" w:hAnsiTheme="majorBidi" w:cstheme="majorBidi"/>
        </w:rPr>
      </w:pPr>
      <w:r w:rsidRPr="000B65B4">
        <w:rPr>
          <w:rFonts w:asciiTheme="majorBidi" w:hAnsiTheme="majorBidi" w:cstheme="majorBidi"/>
        </w:rPr>
        <w:t xml:space="preserve">- </w:t>
      </w:r>
      <w:r w:rsidRPr="000B65B4">
        <w:rPr>
          <w:rFonts w:asciiTheme="majorBidi" w:hAnsiTheme="majorBidi" w:cstheme="majorBidi"/>
          <w:b/>
          <w:bCs/>
        </w:rPr>
        <w:t>H₁</w:t>
      </w:r>
      <w:r w:rsidRPr="000B65B4">
        <w:rPr>
          <w:rFonts w:asciiTheme="majorBidi" w:hAnsiTheme="majorBidi" w:cstheme="majorBidi"/>
        </w:rPr>
        <w:t>: Gold and Oil returns have a significant impact on S&amp;P 500 and NASDAQ returns.</w:t>
      </w:r>
    </w:p>
    <w:p w14:paraId="635FB56B" w14:textId="43359502" w:rsidR="00E800D4" w:rsidRPr="000B65B4" w:rsidRDefault="00E800D4" w:rsidP="00E800D4">
      <w:pPr>
        <w:pStyle w:val="SectionTitle"/>
        <w:numPr>
          <w:ilvl w:val="0"/>
          <w:numId w:val="1"/>
        </w:numPr>
        <w:jc w:val="left"/>
        <w:rPr>
          <w:rFonts w:asciiTheme="majorBidi" w:hAnsiTheme="majorBidi" w:cstheme="majorBidi"/>
        </w:rPr>
      </w:pPr>
      <w:r>
        <w:rPr>
          <w:rFonts w:asciiTheme="majorBidi" w:hAnsiTheme="majorBidi" w:cstheme="majorBidi"/>
        </w:rPr>
        <w:t>Data Description</w:t>
      </w:r>
    </w:p>
    <w:p w14:paraId="20FCB45B" w14:textId="64970B9F" w:rsidR="00350142" w:rsidRDefault="00E800D4" w:rsidP="003F24DF">
      <w:pPr>
        <w:rPr>
          <w:rFonts w:asciiTheme="majorBidi" w:hAnsiTheme="majorBidi" w:cstheme="majorBidi"/>
        </w:rPr>
      </w:pPr>
      <w:r w:rsidRPr="00E800D4">
        <w:rPr>
          <w:rFonts w:asciiTheme="majorBidi" w:hAnsiTheme="majorBidi" w:cstheme="majorBidi"/>
        </w:rPr>
        <w:t xml:space="preserve">The dataset was collected from Kaggle (nazaninmottaghi2022/financial-data) and covers daily closing prices for the S&amp;P 500, NASDAQ, Gold, and Oil from </w:t>
      </w:r>
      <w:r w:rsidR="003F24DF">
        <w:rPr>
          <w:rFonts w:asciiTheme="majorBidi" w:hAnsiTheme="majorBidi" w:cstheme="majorBidi"/>
        </w:rPr>
        <w:t>2019</w:t>
      </w:r>
      <w:r w:rsidRPr="00E800D4">
        <w:rPr>
          <w:rFonts w:asciiTheme="majorBidi" w:hAnsiTheme="majorBidi" w:cstheme="majorBidi"/>
        </w:rPr>
        <w:t xml:space="preserve"> to 2024</w:t>
      </w:r>
      <w:r w:rsidR="003F24DF">
        <w:rPr>
          <w:rFonts w:asciiTheme="majorBidi" w:hAnsiTheme="majorBidi" w:cstheme="majorBidi"/>
        </w:rPr>
        <w:t xml:space="preserve">; however, as per project requirements, the dataset has been cleaned and </w:t>
      </w:r>
      <w:r w:rsidR="00350142">
        <w:rPr>
          <w:rFonts w:asciiTheme="majorBidi" w:hAnsiTheme="majorBidi" w:cstheme="majorBidi"/>
        </w:rPr>
        <w:t>minimized to include daily data from January 2024 until December 2024.</w:t>
      </w:r>
      <w:r w:rsidRPr="00E800D4">
        <w:rPr>
          <w:rFonts w:asciiTheme="majorBidi" w:hAnsiTheme="majorBidi" w:cstheme="majorBidi"/>
        </w:rPr>
        <w:t xml:space="preserve"> Returns were calculated as percentage changes from daily closing prices. The dataset is recent, verifiable, and suitable for econometric analysis.</w:t>
      </w:r>
      <w:r w:rsidR="003F24DF">
        <w:rPr>
          <w:rFonts w:asciiTheme="majorBidi" w:hAnsiTheme="majorBidi" w:cstheme="majorBidi"/>
        </w:rPr>
        <w:t xml:space="preserve"> </w:t>
      </w:r>
    </w:p>
    <w:p w14:paraId="50AEFFC5" w14:textId="71DC97FD" w:rsidR="003F24DF" w:rsidRPr="000B65B4" w:rsidRDefault="00350142" w:rsidP="00350142">
      <w:pPr>
        <w:spacing w:after="160" w:line="259" w:lineRule="auto"/>
        <w:ind w:firstLine="0"/>
        <w:rPr>
          <w:rFonts w:asciiTheme="majorBidi" w:hAnsiTheme="majorBidi" w:cstheme="majorBidi"/>
        </w:rPr>
      </w:pPr>
      <w:r>
        <w:rPr>
          <w:rFonts w:asciiTheme="majorBidi" w:hAnsiTheme="majorBidi" w:cstheme="majorBidi"/>
        </w:rPr>
        <w:br w:type="page"/>
      </w:r>
    </w:p>
    <w:p w14:paraId="179DA989" w14:textId="5ADFD616" w:rsidR="00DD10E8" w:rsidRPr="00FF0023" w:rsidRDefault="00FF0023" w:rsidP="00DD10E8">
      <w:pPr>
        <w:pStyle w:val="Heading2"/>
        <w:numPr>
          <w:ilvl w:val="0"/>
          <w:numId w:val="1"/>
        </w:numPr>
        <w:rPr>
          <w:rFonts w:asciiTheme="majorBidi" w:hAnsiTheme="majorBidi" w:cstheme="majorBidi"/>
        </w:rPr>
      </w:pPr>
      <w:bookmarkStart w:id="0" w:name="_Hlk196773529"/>
      <w:r w:rsidRPr="00FF0023">
        <w:rPr>
          <w:rFonts w:asciiTheme="majorBidi" w:hAnsiTheme="majorBidi" w:cstheme="majorBidi"/>
        </w:rPr>
        <w:lastRenderedPageBreak/>
        <w:t>Descriptive Statistics and Visualization</w:t>
      </w:r>
    </w:p>
    <w:p w14:paraId="6EB848B1" w14:textId="1DA6E5DA" w:rsidR="00DD10E8" w:rsidRDefault="00FF0023" w:rsidP="00741844">
      <w:pPr>
        <w:spacing w:after="120"/>
        <w:rPr>
          <w:rFonts w:asciiTheme="majorBidi" w:hAnsiTheme="majorBidi" w:cstheme="majorBidi"/>
        </w:rPr>
      </w:pPr>
      <w:r w:rsidRPr="00F84661">
        <w:rPr>
          <w:rFonts w:asciiTheme="majorBidi" w:hAnsiTheme="majorBidi" w:cstheme="majorBidi"/>
        </w:rPr>
        <w:t>Descriptive statistics highlighted differences in volatility across assets, with NASDAQ and Oil returns exhibiting greater variability compared to Gold and S&amp;P 500 returns. Histograms indicated near-symmetric distributions for most returns, although slight skewness was observed in Oil returns. Correlation heatmaps revealed a strong positive relationship between NASDAQ and Oil returns, suggesting potential spillover effects</w:t>
      </w:r>
      <w:r w:rsidRPr="00FF0023">
        <w:rPr>
          <w:rFonts w:asciiTheme="majorBidi" w:hAnsiTheme="majorBidi" w:cstheme="majorBidi"/>
        </w:rPr>
        <w:t>.</w:t>
      </w:r>
    </w:p>
    <w:tbl>
      <w:tblPr>
        <w:tblStyle w:val="PlainTable5"/>
        <w:tblW w:w="0" w:type="auto"/>
        <w:tblLook w:val="04A0" w:firstRow="1" w:lastRow="0" w:firstColumn="1" w:lastColumn="0" w:noHBand="0" w:noVBand="1"/>
      </w:tblPr>
      <w:tblGrid>
        <w:gridCol w:w="2202"/>
        <w:gridCol w:w="1857"/>
        <w:gridCol w:w="1944"/>
        <w:gridCol w:w="1450"/>
        <w:gridCol w:w="1277"/>
      </w:tblGrid>
      <w:tr w:rsidR="009349FC" w:rsidRPr="009349FC" w14:paraId="49F5A42E" w14:textId="77777777" w:rsidTr="009349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4E0FE5D" w14:textId="77777777" w:rsidR="009349FC" w:rsidRPr="009349FC" w:rsidRDefault="009349FC" w:rsidP="009349FC">
            <w:pPr>
              <w:spacing w:line="240" w:lineRule="auto"/>
              <w:ind w:firstLine="0"/>
              <w:rPr>
                <w:rFonts w:ascii="Times New Roman" w:eastAsia="Times New Roman" w:hAnsi="Times New Roman" w:cs="Times New Roman"/>
                <w:b/>
                <w:bCs/>
                <w:sz w:val="24"/>
                <w:szCs w:val="24"/>
                <w:lang w:val="en-AE" w:eastAsia="en-AE"/>
              </w:rPr>
            </w:pPr>
            <w:r w:rsidRPr="009349FC">
              <w:rPr>
                <w:rFonts w:ascii="Times New Roman" w:eastAsia="Times New Roman" w:hAnsi="Times New Roman" w:cs="Times New Roman"/>
                <w:b/>
                <w:bCs/>
                <w:sz w:val="24"/>
                <w:szCs w:val="24"/>
                <w:lang w:val="en-AE" w:eastAsia="en-AE"/>
              </w:rPr>
              <w:t>Statistic</w:t>
            </w:r>
          </w:p>
        </w:tc>
        <w:tc>
          <w:tcPr>
            <w:tcW w:w="0" w:type="auto"/>
            <w:hideMark/>
          </w:tcPr>
          <w:p w14:paraId="068AFD1F" w14:textId="77777777" w:rsidR="009349FC" w:rsidRPr="009349FC" w:rsidRDefault="009349FC" w:rsidP="009349FC">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AE" w:eastAsia="en-AE"/>
              </w:rPr>
            </w:pPr>
            <w:r w:rsidRPr="009349FC">
              <w:rPr>
                <w:rFonts w:ascii="Times New Roman" w:eastAsia="Times New Roman" w:hAnsi="Times New Roman" w:cs="Times New Roman"/>
                <w:b/>
                <w:bCs/>
                <w:sz w:val="24"/>
                <w:szCs w:val="24"/>
                <w:lang w:val="en-AE" w:eastAsia="en-AE"/>
              </w:rPr>
              <w:t>S&amp;P 500 Return</w:t>
            </w:r>
          </w:p>
        </w:tc>
        <w:tc>
          <w:tcPr>
            <w:tcW w:w="0" w:type="auto"/>
            <w:hideMark/>
          </w:tcPr>
          <w:p w14:paraId="1D1D3EBE" w14:textId="77777777" w:rsidR="009349FC" w:rsidRPr="009349FC" w:rsidRDefault="009349FC" w:rsidP="009349FC">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AE" w:eastAsia="en-AE"/>
              </w:rPr>
            </w:pPr>
            <w:r w:rsidRPr="009349FC">
              <w:rPr>
                <w:rFonts w:ascii="Times New Roman" w:eastAsia="Times New Roman" w:hAnsi="Times New Roman" w:cs="Times New Roman"/>
                <w:b/>
                <w:bCs/>
                <w:sz w:val="24"/>
                <w:szCs w:val="24"/>
                <w:lang w:val="en-AE" w:eastAsia="en-AE"/>
              </w:rPr>
              <w:t>NASDAQ Return</w:t>
            </w:r>
          </w:p>
        </w:tc>
        <w:tc>
          <w:tcPr>
            <w:tcW w:w="0" w:type="auto"/>
            <w:hideMark/>
          </w:tcPr>
          <w:p w14:paraId="05FCC682" w14:textId="77777777" w:rsidR="009349FC" w:rsidRPr="009349FC" w:rsidRDefault="009349FC" w:rsidP="009349FC">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AE" w:eastAsia="en-AE"/>
              </w:rPr>
            </w:pPr>
            <w:r w:rsidRPr="009349FC">
              <w:rPr>
                <w:rFonts w:ascii="Times New Roman" w:eastAsia="Times New Roman" w:hAnsi="Times New Roman" w:cs="Times New Roman"/>
                <w:b/>
                <w:bCs/>
                <w:sz w:val="24"/>
                <w:szCs w:val="24"/>
                <w:lang w:val="en-AE" w:eastAsia="en-AE"/>
              </w:rPr>
              <w:t>Gold Return</w:t>
            </w:r>
          </w:p>
        </w:tc>
        <w:tc>
          <w:tcPr>
            <w:tcW w:w="0" w:type="auto"/>
            <w:hideMark/>
          </w:tcPr>
          <w:p w14:paraId="4D5827A4" w14:textId="77777777" w:rsidR="009349FC" w:rsidRPr="009349FC" w:rsidRDefault="009349FC" w:rsidP="009349FC">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AE" w:eastAsia="en-AE"/>
              </w:rPr>
            </w:pPr>
            <w:r w:rsidRPr="009349FC">
              <w:rPr>
                <w:rFonts w:ascii="Times New Roman" w:eastAsia="Times New Roman" w:hAnsi="Times New Roman" w:cs="Times New Roman"/>
                <w:b/>
                <w:bCs/>
                <w:sz w:val="24"/>
                <w:szCs w:val="24"/>
                <w:lang w:val="en-AE" w:eastAsia="en-AE"/>
              </w:rPr>
              <w:t>Oil Return</w:t>
            </w:r>
          </w:p>
        </w:tc>
      </w:tr>
      <w:tr w:rsidR="009349FC" w:rsidRPr="009349FC" w14:paraId="668F5359" w14:textId="77777777" w:rsidTr="0093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85E3C" w14:textId="77777777" w:rsidR="009349FC" w:rsidRPr="009349FC" w:rsidRDefault="009349FC" w:rsidP="009349FC">
            <w:pPr>
              <w:spacing w:line="240" w:lineRule="auto"/>
              <w:ind w:firstLine="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Count</w:t>
            </w:r>
          </w:p>
        </w:tc>
        <w:tc>
          <w:tcPr>
            <w:tcW w:w="0" w:type="auto"/>
            <w:hideMark/>
          </w:tcPr>
          <w:p w14:paraId="293428B9"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250</w:t>
            </w:r>
          </w:p>
        </w:tc>
        <w:tc>
          <w:tcPr>
            <w:tcW w:w="0" w:type="auto"/>
            <w:hideMark/>
          </w:tcPr>
          <w:p w14:paraId="510AFDAC"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250</w:t>
            </w:r>
          </w:p>
        </w:tc>
        <w:tc>
          <w:tcPr>
            <w:tcW w:w="0" w:type="auto"/>
            <w:hideMark/>
          </w:tcPr>
          <w:p w14:paraId="2DB29FBA"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250</w:t>
            </w:r>
          </w:p>
        </w:tc>
        <w:tc>
          <w:tcPr>
            <w:tcW w:w="0" w:type="auto"/>
            <w:hideMark/>
          </w:tcPr>
          <w:p w14:paraId="38A68028"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250</w:t>
            </w:r>
          </w:p>
        </w:tc>
      </w:tr>
      <w:tr w:rsidR="009349FC" w:rsidRPr="009349FC" w14:paraId="0E8C8F41" w14:textId="77777777" w:rsidTr="009349FC">
        <w:tc>
          <w:tcPr>
            <w:cnfStyle w:val="001000000000" w:firstRow="0" w:lastRow="0" w:firstColumn="1" w:lastColumn="0" w:oddVBand="0" w:evenVBand="0" w:oddHBand="0" w:evenHBand="0" w:firstRowFirstColumn="0" w:firstRowLastColumn="0" w:lastRowFirstColumn="0" w:lastRowLastColumn="0"/>
            <w:tcW w:w="0" w:type="auto"/>
            <w:hideMark/>
          </w:tcPr>
          <w:p w14:paraId="237D6EDA" w14:textId="77777777" w:rsidR="009349FC" w:rsidRPr="009349FC" w:rsidRDefault="009349FC" w:rsidP="009349FC">
            <w:pPr>
              <w:spacing w:line="240" w:lineRule="auto"/>
              <w:ind w:firstLine="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Mean</w:t>
            </w:r>
          </w:p>
        </w:tc>
        <w:tc>
          <w:tcPr>
            <w:tcW w:w="0" w:type="auto"/>
            <w:hideMark/>
          </w:tcPr>
          <w:p w14:paraId="1E125BCB"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0.019998</w:t>
            </w:r>
          </w:p>
        </w:tc>
        <w:tc>
          <w:tcPr>
            <w:tcW w:w="0" w:type="auto"/>
            <w:hideMark/>
          </w:tcPr>
          <w:p w14:paraId="41582FDF"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0.117474</w:t>
            </w:r>
          </w:p>
        </w:tc>
        <w:tc>
          <w:tcPr>
            <w:tcW w:w="0" w:type="auto"/>
            <w:hideMark/>
          </w:tcPr>
          <w:p w14:paraId="6F314F88"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0.097723</w:t>
            </w:r>
          </w:p>
        </w:tc>
        <w:tc>
          <w:tcPr>
            <w:tcW w:w="0" w:type="auto"/>
            <w:hideMark/>
          </w:tcPr>
          <w:p w14:paraId="51C50639"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0.091016</w:t>
            </w:r>
          </w:p>
        </w:tc>
      </w:tr>
      <w:tr w:rsidR="009349FC" w:rsidRPr="009349FC" w14:paraId="59CA111F" w14:textId="77777777" w:rsidTr="0093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605C39" w14:textId="77777777" w:rsidR="009349FC" w:rsidRPr="009349FC" w:rsidRDefault="009349FC" w:rsidP="009349FC">
            <w:pPr>
              <w:spacing w:line="240" w:lineRule="auto"/>
              <w:ind w:firstLine="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Standard Deviation</w:t>
            </w:r>
          </w:p>
        </w:tc>
        <w:tc>
          <w:tcPr>
            <w:tcW w:w="0" w:type="auto"/>
            <w:hideMark/>
          </w:tcPr>
          <w:p w14:paraId="28BEC59C"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1.819740</w:t>
            </w:r>
          </w:p>
        </w:tc>
        <w:tc>
          <w:tcPr>
            <w:tcW w:w="0" w:type="auto"/>
            <w:hideMark/>
          </w:tcPr>
          <w:p w14:paraId="39AFAF6A"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1.136225</w:t>
            </w:r>
          </w:p>
        </w:tc>
        <w:tc>
          <w:tcPr>
            <w:tcW w:w="0" w:type="auto"/>
            <w:hideMark/>
          </w:tcPr>
          <w:p w14:paraId="23E942C3"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0.954792</w:t>
            </w:r>
          </w:p>
        </w:tc>
        <w:tc>
          <w:tcPr>
            <w:tcW w:w="0" w:type="auto"/>
            <w:hideMark/>
          </w:tcPr>
          <w:p w14:paraId="46B2F0BB"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0.798307</w:t>
            </w:r>
          </w:p>
        </w:tc>
      </w:tr>
      <w:tr w:rsidR="009349FC" w:rsidRPr="009349FC" w14:paraId="3EB5D53C" w14:textId="77777777" w:rsidTr="009349FC">
        <w:tc>
          <w:tcPr>
            <w:cnfStyle w:val="001000000000" w:firstRow="0" w:lastRow="0" w:firstColumn="1" w:lastColumn="0" w:oddVBand="0" w:evenVBand="0" w:oddHBand="0" w:evenHBand="0" w:firstRowFirstColumn="0" w:firstRowLastColumn="0" w:lastRowFirstColumn="0" w:lastRowLastColumn="0"/>
            <w:tcW w:w="0" w:type="auto"/>
            <w:hideMark/>
          </w:tcPr>
          <w:p w14:paraId="37FFAE46" w14:textId="77777777" w:rsidR="009349FC" w:rsidRPr="009349FC" w:rsidRDefault="009349FC" w:rsidP="009349FC">
            <w:pPr>
              <w:spacing w:line="240" w:lineRule="auto"/>
              <w:ind w:firstLine="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Minimum</w:t>
            </w:r>
          </w:p>
        </w:tc>
        <w:tc>
          <w:tcPr>
            <w:tcW w:w="0" w:type="auto"/>
            <w:hideMark/>
          </w:tcPr>
          <w:p w14:paraId="66CD8F5D"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-6.129843</w:t>
            </w:r>
          </w:p>
        </w:tc>
        <w:tc>
          <w:tcPr>
            <w:tcW w:w="0" w:type="auto"/>
            <w:hideMark/>
          </w:tcPr>
          <w:p w14:paraId="7701DE1D"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-3.639088</w:t>
            </w:r>
          </w:p>
        </w:tc>
        <w:tc>
          <w:tcPr>
            <w:tcW w:w="0" w:type="auto"/>
            <w:hideMark/>
          </w:tcPr>
          <w:p w14:paraId="1DB2FDFE"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-3.435546</w:t>
            </w:r>
          </w:p>
        </w:tc>
        <w:tc>
          <w:tcPr>
            <w:tcW w:w="0" w:type="auto"/>
            <w:hideMark/>
          </w:tcPr>
          <w:p w14:paraId="76C6ABB2"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-2.996880</w:t>
            </w:r>
          </w:p>
        </w:tc>
      </w:tr>
      <w:tr w:rsidR="009349FC" w:rsidRPr="009349FC" w14:paraId="6CB0244E" w14:textId="77777777" w:rsidTr="0093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C22527" w14:textId="77777777" w:rsidR="009349FC" w:rsidRPr="009349FC" w:rsidRDefault="009349FC" w:rsidP="009349FC">
            <w:pPr>
              <w:spacing w:line="240" w:lineRule="auto"/>
              <w:ind w:firstLine="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25th Percentile (Q1)</w:t>
            </w:r>
          </w:p>
        </w:tc>
        <w:tc>
          <w:tcPr>
            <w:tcW w:w="0" w:type="auto"/>
            <w:hideMark/>
          </w:tcPr>
          <w:p w14:paraId="13183884"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-1.059903</w:t>
            </w:r>
          </w:p>
        </w:tc>
        <w:tc>
          <w:tcPr>
            <w:tcW w:w="0" w:type="auto"/>
            <w:hideMark/>
          </w:tcPr>
          <w:p w14:paraId="233CD049"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-0.389594</w:t>
            </w:r>
          </w:p>
        </w:tc>
        <w:tc>
          <w:tcPr>
            <w:tcW w:w="0" w:type="auto"/>
            <w:hideMark/>
          </w:tcPr>
          <w:p w14:paraId="6F0F3A10"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-0.378638</w:t>
            </w:r>
          </w:p>
        </w:tc>
        <w:tc>
          <w:tcPr>
            <w:tcW w:w="0" w:type="auto"/>
            <w:hideMark/>
          </w:tcPr>
          <w:p w14:paraId="363364D6"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-0.289551</w:t>
            </w:r>
          </w:p>
        </w:tc>
      </w:tr>
      <w:tr w:rsidR="009349FC" w:rsidRPr="009349FC" w14:paraId="4CDBC450" w14:textId="77777777" w:rsidTr="009349FC">
        <w:tc>
          <w:tcPr>
            <w:cnfStyle w:val="001000000000" w:firstRow="0" w:lastRow="0" w:firstColumn="1" w:lastColumn="0" w:oddVBand="0" w:evenVBand="0" w:oddHBand="0" w:evenHBand="0" w:firstRowFirstColumn="0" w:firstRowLastColumn="0" w:lastRowFirstColumn="0" w:lastRowLastColumn="0"/>
            <w:tcW w:w="0" w:type="auto"/>
            <w:hideMark/>
          </w:tcPr>
          <w:p w14:paraId="3C6DB7E0" w14:textId="77777777" w:rsidR="009349FC" w:rsidRPr="009349FC" w:rsidRDefault="009349FC" w:rsidP="009349FC">
            <w:pPr>
              <w:spacing w:line="240" w:lineRule="auto"/>
              <w:ind w:firstLine="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Median (Q2)</w:t>
            </w:r>
          </w:p>
        </w:tc>
        <w:tc>
          <w:tcPr>
            <w:tcW w:w="0" w:type="auto"/>
            <w:hideMark/>
          </w:tcPr>
          <w:p w14:paraId="5833E9CF"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-0.020574</w:t>
            </w:r>
          </w:p>
        </w:tc>
        <w:tc>
          <w:tcPr>
            <w:tcW w:w="0" w:type="auto"/>
            <w:hideMark/>
          </w:tcPr>
          <w:p w14:paraId="5A9D9772"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0.164193</w:t>
            </w:r>
          </w:p>
        </w:tc>
        <w:tc>
          <w:tcPr>
            <w:tcW w:w="0" w:type="auto"/>
            <w:hideMark/>
          </w:tcPr>
          <w:p w14:paraId="6AC7C3CF"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0.176819</w:t>
            </w:r>
          </w:p>
        </w:tc>
        <w:tc>
          <w:tcPr>
            <w:tcW w:w="0" w:type="auto"/>
            <w:hideMark/>
          </w:tcPr>
          <w:p w14:paraId="0CAFBC69"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0.105391</w:t>
            </w:r>
          </w:p>
        </w:tc>
      </w:tr>
      <w:tr w:rsidR="009349FC" w:rsidRPr="009349FC" w14:paraId="28BB9CD7" w14:textId="77777777" w:rsidTr="0093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7056F" w14:textId="77777777" w:rsidR="009349FC" w:rsidRPr="009349FC" w:rsidRDefault="009349FC" w:rsidP="009349FC">
            <w:pPr>
              <w:spacing w:line="240" w:lineRule="auto"/>
              <w:ind w:firstLine="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75th Percentile (Q3)</w:t>
            </w:r>
          </w:p>
        </w:tc>
        <w:tc>
          <w:tcPr>
            <w:tcW w:w="0" w:type="auto"/>
            <w:hideMark/>
          </w:tcPr>
          <w:p w14:paraId="76683B07"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1.240307</w:t>
            </w:r>
          </w:p>
        </w:tc>
        <w:tc>
          <w:tcPr>
            <w:tcW w:w="0" w:type="auto"/>
            <w:hideMark/>
          </w:tcPr>
          <w:p w14:paraId="17AD753B"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0.833778</w:t>
            </w:r>
          </w:p>
        </w:tc>
        <w:tc>
          <w:tcPr>
            <w:tcW w:w="0" w:type="auto"/>
            <w:hideMark/>
          </w:tcPr>
          <w:p w14:paraId="74770B4F"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0.753424</w:t>
            </w:r>
          </w:p>
        </w:tc>
        <w:tc>
          <w:tcPr>
            <w:tcW w:w="0" w:type="auto"/>
            <w:hideMark/>
          </w:tcPr>
          <w:p w14:paraId="15F9BC5B" w14:textId="77777777" w:rsidR="009349FC" w:rsidRPr="009349FC" w:rsidRDefault="009349FC" w:rsidP="009349F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0.566177</w:t>
            </w:r>
          </w:p>
        </w:tc>
      </w:tr>
      <w:tr w:rsidR="009349FC" w:rsidRPr="009349FC" w14:paraId="2D392BE3" w14:textId="77777777" w:rsidTr="009349FC">
        <w:tc>
          <w:tcPr>
            <w:cnfStyle w:val="001000000000" w:firstRow="0" w:lastRow="0" w:firstColumn="1" w:lastColumn="0" w:oddVBand="0" w:evenVBand="0" w:oddHBand="0" w:evenHBand="0" w:firstRowFirstColumn="0" w:firstRowLastColumn="0" w:lastRowFirstColumn="0" w:lastRowLastColumn="0"/>
            <w:tcW w:w="0" w:type="auto"/>
            <w:hideMark/>
          </w:tcPr>
          <w:p w14:paraId="407CBD45" w14:textId="77777777" w:rsidR="009349FC" w:rsidRPr="009349FC" w:rsidRDefault="009349FC" w:rsidP="009349FC">
            <w:pPr>
              <w:spacing w:line="240" w:lineRule="auto"/>
              <w:ind w:firstLine="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Maximum</w:t>
            </w:r>
          </w:p>
        </w:tc>
        <w:tc>
          <w:tcPr>
            <w:tcW w:w="0" w:type="auto"/>
            <w:hideMark/>
          </w:tcPr>
          <w:p w14:paraId="0C75DFC1"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5.149787</w:t>
            </w:r>
          </w:p>
        </w:tc>
        <w:tc>
          <w:tcPr>
            <w:tcW w:w="0" w:type="auto"/>
            <w:hideMark/>
          </w:tcPr>
          <w:p w14:paraId="2115A0DE"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2.957152</w:t>
            </w:r>
          </w:p>
        </w:tc>
        <w:tc>
          <w:tcPr>
            <w:tcW w:w="0" w:type="auto"/>
            <w:hideMark/>
          </w:tcPr>
          <w:p w14:paraId="55C92F80"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2.013978</w:t>
            </w:r>
          </w:p>
        </w:tc>
        <w:tc>
          <w:tcPr>
            <w:tcW w:w="0" w:type="auto"/>
            <w:hideMark/>
          </w:tcPr>
          <w:p w14:paraId="22302CF3" w14:textId="77777777" w:rsidR="009349FC" w:rsidRPr="009349FC" w:rsidRDefault="009349FC" w:rsidP="009349F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AE" w:eastAsia="en-AE"/>
              </w:rPr>
            </w:pPr>
            <w:r w:rsidRPr="009349FC">
              <w:rPr>
                <w:rFonts w:ascii="Times New Roman" w:eastAsia="Times New Roman" w:hAnsi="Times New Roman" w:cs="Times New Roman"/>
                <w:sz w:val="24"/>
                <w:szCs w:val="24"/>
                <w:lang w:val="en-AE" w:eastAsia="en-AE"/>
              </w:rPr>
              <w:t>2.529593</w:t>
            </w:r>
          </w:p>
        </w:tc>
      </w:tr>
    </w:tbl>
    <w:p w14:paraId="335581E8" w14:textId="253FC690" w:rsidR="009349FC" w:rsidRDefault="009349FC" w:rsidP="009349FC">
      <w:pPr>
        <w:tabs>
          <w:tab w:val="left" w:pos="2436"/>
        </w:tabs>
        <w:spacing w:after="120"/>
        <w:ind w:firstLine="0"/>
        <w:rPr>
          <w:rFonts w:asciiTheme="majorBidi" w:hAnsiTheme="majorBidi" w:cstheme="majorBidi"/>
        </w:rPr>
      </w:pPr>
    </w:p>
    <w:p w14:paraId="5651E3B4" w14:textId="55E7DE70" w:rsidR="009349FC" w:rsidRPr="009349FC" w:rsidRDefault="009349FC" w:rsidP="009349FC">
      <w:pPr>
        <w:spacing w:after="120"/>
        <w:rPr>
          <w:rFonts w:asciiTheme="majorBidi" w:hAnsiTheme="majorBidi" w:cstheme="majorBidi"/>
          <w:lang w:val="en-AE"/>
        </w:rPr>
      </w:pPr>
      <w:r w:rsidRPr="009349FC">
        <w:rPr>
          <w:rFonts w:asciiTheme="majorBidi" w:hAnsiTheme="majorBidi" w:cstheme="majorBidi"/>
          <w:b/>
          <w:bCs/>
          <w:lang w:val="en-AE"/>
        </w:rPr>
        <w:t>Interpretation:</w:t>
      </w:r>
    </w:p>
    <w:p w14:paraId="1E99503A" w14:textId="77777777" w:rsidR="009349FC" w:rsidRPr="009349FC" w:rsidRDefault="009349FC" w:rsidP="009349FC">
      <w:pPr>
        <w:spacing w:after="120"/>
        <w:ind w:firstLine="0"/>
        <w:rPr>
          <w:rFonts w:asciiTheme="majorBidi" w:hAnsiTheme="majorBidi" w:cstheme="majorBidi"/>
        </w:rPr>
      </w:pPr>
      <w:r w:rsidRPr="009349FC">
        <w:rPr>
          <w:rFonts w:asciiTheme="majorBidi" w:hAnsiTheme="majorBidi" w:cstheme="majorBidi"/>
        </w:rPr>
        <w:t>- The mean return indicates the average daily performance. NASDAQ had a higher mean (0.12%) than S&amp;P 500 (0.02%).</w:t>
      </w:r>
    </w:p>
    <w:p w14:paraId="7AA780C2" w14:textId="77777777" w:rsidR="009349FC" w:rsidRPr="009349FC" w:rsidRDefault="009349FC" w:rsidP="009349FC">
      <w:pPr>
        <w:spacing w:after="120"/>
        <w:ind w:firstLine="0"/>
        <w:rPr>
          <w:rFonts w:asciiTheme="majorBidi" w:hAnsiTheme="majorBidi" w:cstheme="majorBidi"/>
        </w:rPr>
      </w:pPr>
      <w:r w:rsidRPr="009349FC">
        <w:rPr>
          <w:rFonts w:asciiTheme="majorBidi" w:hAnsiTheme="majorBidi" w:cstheme="majorBidi"/>
        </w:rPr>
        <w:t>- Standard deviation shows volatility; S&amp;P 500 was more volatile (1.82%) than NASDAQ (1.14%).</w:t>
      </w:r>
    </w:p>
    <w:p w14:paraId="373773A9" w14:textId="1F0B85D7" w:rsidR="009349FC" w:rsidRPr="009349FC" w:rsidRDefault="009349FC" w:rsidP="009349FC">
      <w:pPr>
        <w:spacing w:after="120"/>
        <w:ind w:firstLine="0"/>
        <w:rPr>
          <w:rFonts w:asciiTheme="majorBidi" w:hAnsiTheme="majorBidi" w:cstheme="majorBidi"/>
        </w:rPr>
      </w:pPr>
      <w:r w:rsidRPr="009349FC">
        <w:rPr>
          <w:rFonts w:asciiTheme="majorBidi" w:hAnsiTheme="majorBidi" w:cstheme="majorBidi"/>
        </w:rPr>
        <w:t>- Minimum and maximum values reflect the largest daily losses and gains, highlighting the presence of market shocks.</w:t>
      </w:r>
    </w:p>
    <w:p w14:paraId="655CEB51" w14:textId="018A4C6C" w:rsidR="004D7764" w:rsidRDefault="009349FC" w:rsidP="009349FC">
      <w:pPr>
        <w:tabs>
          <w:tab w:val="left" w:pos="1620"/>
        </w:tabs>
        <w:spacing w:after="120"/>
        <w:rPr>
          <w:rFonts w:asciiTheme="majorBidi" w:hAnsiTheme="majorBidi" w:cstheme="majorBidi"/>
          <w:color w:val="404040" w:themeColor="text1" w:themeTint="BF"/>
          <w:lang w:val="en-AE"/>
        </w:rPr>
      </w:pPr>
      <w:r w:rsidRPr="009349FC">
        <w:rPr>
          <w:rFonts w:asciiTheme="majorBidi" w:hAnsiTheme="majorBidi" w:cstheme="majorBidi"/>
          <w:b/>
          <w:bCs/>
          <w:i/>
          <w:iCs/>
          <w:color w:val="404040" w:themeColor="text1" w:themeTint="BF"/>
          <w:lang w:val="en-AE"/>
        </w:rPr>
        <w:t>Volatility</w:t>
      </w:r>
      <w:r w:rsidRPr="009349FC">
        <w:rPr>
          <w:rFonts w:asciiTheme="majorBidi" w:hAnsiTheme="majorBidi" w:cstheme="majorBidi"/>
          <w:color w:val="404040" w:themeColor="text1" w:themeTint="BF"/>
          <w:lang w:val="en-AE"/>
        </w:rPr>
        <w:t xml:space="preserve"> measures the degree of variation in returns over time; higher volatility indicates greater uncertainty and larger fluctuations in asset prices, while lower volatility suggests more stable and predictable movements.</w:t>
      </w:r>
    </w:p>
    <w:p w14:paraId="31A278DE" w14:textId="77777777" w:rsidR="004D7764" w:rsidRDefault="004D7764">
      <w:pPr>
        <w:spacing w:after="160" w:line="259" w:lineRule="auto"/>
        <w:ind w:firstLine="0"/>
        <w:rPr>
          <w:rFonts w:asciiTheme="majorBidi" w:hAnsiTheme="majorBidi" w:cstheme="majorBidi"/>
          <w:color w:val="404040" w:themeColor="text1" w:themeTint="BF"/>
          <w:lang w:val="en-AE"/>
        </w:rPr>
      </w:pPr>
      <w:r>
        <w:rPr>
          <w:rFonts w:asciiTheme="majorBidi" w:hAnsiTheme="majorBidi" w:cstheme="majorBidi"/>
          <w:color w:val="404040" w:themeColor="text1" w:themeTint="BF"/>
          <w:lang w:val="en-AE"/>
        </w:rPr>
        <w:br w:type="page"/>
      </w:r>
    </w:p>
    <w:p w14:paraId="7772A48E" w14:textId="77777777" w:rsidR="004D7764" w:rsidRDefault="004D7764" w:rsidP="004D7764">
      <w:pPr>
        <w:pStyle w:val="Caption"/>
      </w:pPr>
      <w:r>
        <w:rPr>
          <w:rFonts w:asciiTheme="majorBidi" w:hAnsiTheme="majorBidi" w:cstheme="majorBidi"/>
          <w:noProof/>
          <w:lang w:val="en-AE"/>
        </w:rPr>
        <w:lastRenderedPageBreak/>
        <w:drawing>
          <wp:inline distT="0" distB="0" distL="0" distR="0" wp14:anchorId="39D2B187" wp14:editId="2283FEEC">
            <wp:extent cx="5565136" cy="3697605"/>
            <wp:effectExtent l="0" t="0" r="0" b="0"/>
            <wp:docPr id="53413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31741" name="Picture 534131741"/>
                    <pic:cNvPicPr/>
                  </pic:nvPicPr>
                  <pic:blipFill>
                    <a:blip r:embed="rId11">
                      <a:extLst>
                        <a:ext uri="{28A0092B-C50C-407E-A947-70E740481C1C}">
                          <a14:useLocalDpi xmlns:a14="http://schemas.microsoft.com/office/drawing/2010/main" val="0"/>
                        </a:ext>
                      </a:extLst>
                    </a:blip>
                    <a:stretch>
                      <a:fillRect/>
                    </a:stretch>
                  </pic:blipFill>
                  <pic:spPr>
                    <a:xfrm>
                      <a:off x="0" y="0"/>
                      <a:ext cx="5571527" cy="3701851"/>
                    </a:xfrm>
                    <a:prstGeom prst="rect">
                      <a:avLst/>
                    </a:prstGeom>
                  </pic:spPr>
                </pic:pic>
              </a:graphicData>
            </a:graphic>
          </wp:inline>
        </w:drawing>
      </w:r>
    </w:p>
    <w:p w14:paraId="0D5060D6" w14:textId="345D9E3B" w:rsidR="003D7831" w:rsidRDefault="004D7764" w:rsidP="004D7764">
      <w:pPr>
        <w:pStyle w:val="Caption"/>
        <w:spacing w:after="120"/>
        <w:rPr>
          <w:color w:val="808080" w:themeColor="background1" w:themeShade="80"/>
        </w:rPr>
      </w:pPr>
      <w:bookmarkStart w:id="1" w:name="_Toc196778031"/>
      <w:r>
        <w:t xml:space="preserve">Figure </w:t>
      </w:r>
      <w:fldSimple w:instr=" SEQ Figure \* ARABIC ">
        <w:r w:rsidR="00FA2008">
          <w:rPr>
            <w:noProof/>
          </w:rPr>
          <w:t>1</w:t>
        </w:r>
      </w:fldSimple>
      <w:r>
        <w:t>.</w:t>
      </w:r>
      <w:r w:rsidRPr="004D7764">
        <w:t xml:space="preserve"> </w:t>
      </w:r>
      <w:r>
        <w:t xml:space="preserve">Histograms included from Jupyter Notebook: </w:t>
      </w:r>
      <w:r w:rsidRPr="00076450">
        <w:rPr>
          <w:color w:val="808080" w:themeColor="background1" w:themeShade="80"/>
        </w:rPr>
        <w:t>financial_data_modeling.ipynb</w:t>
      </w:r>
      <w:r w:rsidR="00312443">
        <w:rPr>
          <w:color w:val="808080" w:themeColor="background1" w:themeShade="80"/>
        </w:rPr>
        <w:t>, section 2.1</w:t>
      </w:r>
      <w:bookmarkEnd w:id="1"/>
    </w:p>
    <w:p w14:paraId="235CBC2D" w14:textId="106AD606" w:rsidR="004D7764" w:rsidRPr="004D7764" w:rsidRDefault="004D7764" w:rsidP="004D7764">
      <w:pPr>
        <w:spacing w:after="120" w:line="360" w:lineRule="auto"/>
        <w:rPr>
          <w:rFonts w:asciiTheme="majorBidi" w:hAnsiTheme="majorBidi" w:cstheme="majorBidi"/>
        </w:rPr>
      </w:pPr>
      <w:r w:rsidRPr="004D7764">
        <w:rPr>
          <w:rFonts w:asciiTheme="majorBidi" w:hAnsiTheme="majorBidi" w:cstheme="majorBidi"/>
        </w:rPr>
        <w:t>Overall, the returns of S&amp;P 500, NASDAQ, Gold, and Oil are centered around zero, reflecting small average daily movements.</w:t>
      </w:r>
    </w:p>
    <w:p w14:paraId="5710661C" w14:textId="6DA17001" w:rsidR="004D7764" w:rsidRPr="004D7764" w:rsidRDefault="004D7764" w:rsidP="004D7764">
      <w:pPr>
        <w:spacing w:after="120"/>
        <w:ind w:firstLine="0"/>
        <w:rPr>
          <w:rFonts w:asciiTheme="majorBidi" w:hAnsiTheme="majorBidi" w:cstheme="majorBidi"/>
        </w:rPr>
      </w:pPr>
      <w:r w:rsidRPr="004D7764">
        <w:rPr>
          <w:rFonts w:asciiTheme="majorBidi" w:hAnsiTheme="majorBidi" w:cstheme="majorBidi"/>
        </w:rPr>
        <w:t>- The S&amp;P 500 shows slight left-skewness, indicating that large negative returns occur more often than large positive ones.</w:t>
      </w:r>
    </w:p>
    <w:p w14:paraId="0BC9D905" w14:textId="6552CFAC" w:rsidR="004D7764" w:rsidRPr="004D7764" w:rsidRDefault="004D7764" w:rsidP="004D7764">
      <w:pPr>
        <w:spacing w:after="120"/>
        <w:ind w:firstLine="0"/>
        <w:rPr>
          <w:rFonts w:asciiTheme="majorBidi" w:hAnsiTheme="majorBidi" w:cstheme="majorBidi"/>
        </w:rPr>
      </w:pPr>
      <w:r w:rsidRPr="004D7764">
        <w:rPr>
          <w:rFonts w:asciiTheme="majorBidi" w:hAnsiTheme="majorBidi" w:cstheme="majorBidi"/>
        </w:rPr>
        <w:t>- The NASDAQ returns are fairly symmetric but with a very mild right skew, suggesting a slight tendency toward positive daily changes.</w:t>
      </w:r>
    </w:p>
    <w:p w14:paraId="1D5B244C" w14:textId="34F5D652" w:rsidR="004D7764" w:rsidRPr="004D7764" w:rsidRDefault="004D7764" w:rsidP="004D7764">
      <w:pPr>
        <w:spacing w:after="120"/>
        <w:ind w:firstLine="0"/>
        <w:rPr>
          <w:rFonts w:asciiTheme="majorBidi" w:hAnsiTheme="majorBidi" w:cstheme="majorBidi"/>
        </w:rPr>
      </w:pPr>
      <w:r w:rsidRPr="004D7764">
        <w:rPr>
          <w:rFonts w:asciiTheme="majorBidi" w:hAnsiTheme="majorBidi" w:cstheme="majorBidi"/>
        </w:rPr>
        <w:t>- Gold returns exhibit a noticeable right skew, with occasional sharp positive returns, likely reflecting its role as a safe-haven asset during market uncertainty.</w:t>
      </w:r>
    </w:p>
    <w:p w14:paraId="16BA34DF" w14:textId="46A771F6" w:rsidR="00312443" w:rsidRDefault="004D7764" w:rsidP="00312443">
      <w:pPr>
        <w:spacing w:after="120"/>
        <w:ind w:firstLine="0"/>
        <w:rPr>
          <w:rFonts w:asciiTheme="majorBidi" w:hAnsiTheme="majorBidi" w:cstheme="majorBidi"/>
        </w:rPr>
      </w:pPr>
      <w:r w:rsidRPr="004D7764">
        <w:rPr>
          <w:rFonts w:asciiTheme="majorBidi" w:hAnsiTheme="majorBidi" w:cstheme="majorBidi"/>
        </w:rPr>
        <w:t>The distribution shapes for all assets suggest that while returns are approximately normal, they display mild skewness and moderate kurtosis, meaning returns are not perfectly normally distributed.</w:t>
      </w:r>
    </w:p>
    <w:p w14:paraId="20CBB84B" w14:textId="77777777" w:rsidR="00312443" w:rsidRDefault="00312443">
      <w:pPr>
        <w:spacing w:after="160" w:line="259" w:lineRule="auto"/>
        <w:ind w:firstLine="0"/>
        <w:rPr>
          <w:rFonts w:asciiTheme="majorBidi" w:hAnsiTheme="majorBidi" w:cstheme="majorBidi"/>
        </w:rPr>
      </w:pPr>
      <w:r>
        <w:rPr>
          <w:rFonts w:asciiTheme="majorBidi" w:hAnsiTheme="majorBidi" w:cstheme="majorBidi"/>
        </w:rPr>
        <w:br w:type="page"/>
      </w:r>
    </w:p>
    <w:p w14:paraId="27BD883F" w14:textId="46A84E29" w:rsidR="00312443" w:rsidRPr="00312443" w:rsidRDefault="00312443" w:rsidP="00312443">
      <w:pPr>
        <w:pStyle w:val="Caption"/>
        <w:spacing w:after="240"/>
        <w:jc w:val="center"/>
        <w:rPr>
          <w:color w:val="808080" w:themeColor="background1" w:themeShade="80"/>
        </w:rPr>
      </w:pPr>
      <w:bookmarkStart w:id="2" w:name="_Toc196778032"/>
      <w:r>
        <w:rPr>
          <w:rFonts w:asciiTheme="majorBidi" w:hAnsiTheme="majorBidi" w:cstheme="majorBidi"/>
          <w:noProof/>
        </w:rPr>
        <w:lastRenderedPageBreak/>
        <w:drawing>
          <wp:inline distT="0" distB="0" distL="0" distR="0" wp14:anchorId="52BAA865" wp14:editId="68438A2E">
            <wp:extent cx="5943600" cy="3789045"/>
            <wp:effectExtent l="0" t="0" r="0" b="1905"/>
            <wp:docPr id="1565440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40039" name="Picture 1565440039"/>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inline>
        </w:drawing>
      </w:r>
      <w:r>
        <w:t xml:space="preserve">Figure </w:t>
      </w:r>
      <w:fldSimple w:instr=" SEQ Figure \* ARABIC ">
        <w:r w:rsidR="00FA2008">
          <w:rPr>
            <w:noProof/>
          </w:rPr>
          <w:t>2</w:t>
        </w:r>
      </w:fldSimple>
      <w:r>
        <w:t xml:space="preserve">. Boxplot figure included from Jupyter Notebook: </w:t>
      </w:r>
      <w:r w:rsidRPr="00076450">
        <w:rPr>
          <w:color w:val="808080" w:themeColor="background1" w:themeShade="80"/>
        </w:rPr>
        <w:t>financial_data_modeling.ipynb</w:t>
      </w:r>
      <w:r>
        <w:rPr>
          <w:color w:val="808080" w:themeColor="background1" w:themeShade="80"/>
        </w:rPr>
        <w:t>, section 2.3</w:t>
      </w:r>
      <w:bookmarkEnd w:id="2"/>
    </w:p>
    <w:p w14:paraId="444D8055" w14:textId="1D900D2A" w:rsidR="00312443" w:rsidRPr="00312443" w:rsidRDefault="00312443" w:rsidP="00312443">
      <w:pPr>
        <w:spacing w:after="120" w:line="360" w:lineRule="auto"/>
        <w:rPr>
          <w:rFonts w:asciiTheme="majorBidi" w:hAnsiTheme="majorBidi" w:cstheme="majorBidi"/>
          <w:b/>
          <w:bCs/>
        </w:rPr>
      </w:pPr>
      <w:bookmarkStart w:id="3" w:name="_Hlk196777697"/>
      <w:r w:rsidRPr="00312443">
        <w:rPr>
          <w:rFonts w:asciiTheme="majorBidi" w:hAnsiTheme="majorBidi" w:cstheme="majorBidi"/>
          <w:b/>
          <w:bCs/>
        </w:rPr>
        <w:t>Interpretation:</w:t>
      </w:r>
    </w:p>
    <w:p w14:paraId="169E9334" w14:textId="3A55D781" w:rsidR="00312443" w:rsidRPr="00312443" w:rsidRDefault="00312443" w:rsidP="00312443">
      <w:pPr>
        <w:spacing w:after="120" w:line="360" w:lineRule="auto"/>
        <w:rPr>
          <w:rFonts w:asciiTheme="majorBidi" w:hAnsiTheme="majorBidi" w:cstheme="majorBidi"/>
        </w:rPr>
      </w:pPr>
      <w:r w:rsidRPr="00312443">
        <w:rPr>
          <w:rFonts w:asciiTheme="majorBidi" w:hAnsiTheme="majorBidi" w:cstheme="majorBidi"/>
        </w:rPr>
        <w:t>- S&amp;P 500 returns show the widest interquartile range (IQR) and the largest spread of outliers, indicating the highest volatility and exposure to extreme movements among the four assets.</w:t>
      </w:r>
    </w:p>
    <w:p w14:paraId="7D68E2E7" w14:textId="0A394223" w:rsidR="00312443" w:rsidRPr="00312443" w:rsidRDefault="00312443" w:rsidP="00312443">
      <w:pPr>
        <w:spacing w:after="120" w:line="360" w:lineRule="auto"/>
        <w:rPr>
          <w:rFonts w:asciiTheme="majorBidi" w:hAnsiTheme="majorBidi" w:cstheme="majorBidi"/>
        </w:rPr>
      </w:pPr>
      <w:r w:rsidRPr="00312443">
        <w:rPr>
          <w:rFonts w:asciiTheme="majorBidi" w:hAnsiTheme="majorBidi" w:cstheme="majorBidi"/>
        </w:rPr>
        <w:t>- Gold and Oil returns are more tightly clustered around the median, reflecting relatively lower daily variability compared to stock indices.</w:t>
      </w:r>
    </w:p>
    <w:p w14:paraId="3BD5C635" w14:textId="4FA44404" w:rsidR="00FA2008" w:rsidRDefault="00312443" w:rsidP="00312443">
      <w:pPr>
        <w:spacing w:after="120" w:line="360" w:lineRule="auto"/>
        <w:rPr>
          <w:rFonts w:asciiTheme="majorBidi" w:hAnsiTheme="majorBidi" w:cstheme="majorBidi"/>
        </w:rPr>
      </w:pPr>
      <w:r w:rsidRPr="00312443">
        <w:rPr>
          <w:rFonts w:asciiTheme="majorBidi" w:hAnsiTheme="majorBidi" w:cstheme="majorBidi"/>
        </w:rPr>
        <w:t>- Across all assets, small but visible outliers highlight occasional sharp market events, with S&amp;P 500 experiencing the most extreme daily losses and gains.</w:t>
      </w:r>
    </w:p>
    <w:bookmarkEnd w:id="3"/>
    <w:p w14:paraId="6BD2306E" w14:textId="77777777" w:rsidR="00FA2008" w:rsidRDefault="00FA2008">
      <w:pPr>
        <w:spacing w:after="160" w:line="259" w:lineRule="auto"/>
        <w:ind w:firstLine="0"/>
        <w:rPr>
          <w:rFonts w:asciiTheme="majorBidi" w:hAnsiTheme="majorBidi" w:cstheme="majorBidi"/>
        </w:rPr>
      </w:pPr>
      <w:r>
        <w:rPr>
          <w:rFonts w:asciiTheme="majorBidi" w:hAnsiTheme="majorBidi" w:cstheme="majorBidi"/>
        </w:rPr>
        <w:br w:type="page"/>
      </w:r>
    </w:p>
    <w:p w14:paraId="78BA2682" w14:textId="77777777" w:rsidR="00FA2008" w:rsidRDefault="00FA2008" w:rsidP="00FA2008">
      <w:pPr>
        <w:pStyle w:val="Caption"/>
      </w:pPr>
      <w:r>
        <w:rPr>
          <w:rFonts w:asciiTheme="majorBidi" w:hAnsiTheme="majorBidi" w:cstheme="majorBidi"/>
          <w:noProof/>
        </w:rPr>
        <w:lastRenderedPageBreak/>
        <w:drawing>
          <wp:inline distT="0" distB="0" distL="0" distR="0" wp14:anchorId="1929D0E1" wp14:editId="3378E0F3">
            <wp:extent cx="5384782" cy="3261360"/>
            <wp:effectExtent l="0" t="0" r="6985" b="0"/>
            <wp:docPr id="1419191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1819" name="Picture 1419191819"/>
                    <pic:cNvPicPr/>
                  </pic:nvPicPr>
                  <pic:blipFill>
                    <a:blip r:embed="rId13">
                      <a:extLst>
                        <a:ext uri="{28A0092B-C50C-407E-A947-70E740481C1C}">
                          <a14:useLocalDpi xmlns:a14="http://schemas.microsoft.com/office/drawing/2010/main" val="0"/>
                        </a:ext>
                      </a:extLst>
                    </a:blip>
                    <a:stretch>
                      <a:fillRect/>
                    </a:stretch>
                  </pic:blipFill>
                  <pic:spPr>
                    <a:xfrm>
                      <a:off x="0" y="0"/>
                      <a:ext cx="5393175" cy="3266443"/>
                    </a:xfrm>
                    <a:prstGeom prst="rect">
                      <a:avLst/>
                    </a:prstGeom>
                  </pic:spPr>
                </pic:pic>
              </a:graphicData>
            </a:graphic>
          </wp:inline>
        </w:drawing>
      </w:r>
    </w:p>
    <w:p w14:paraId="2EF6DDB5" w14:textId="2452AECD" w:rsidR="00312443" w:rsidRDefault="00FA2008" w:rsidP="00FA2008">
      <w:pPr>
        <w:pStyle w:val="Caption"/>
        <w:rPr>
          <w:color w:val="808080" w:themeColor="background1" w:themeShade="80"/>
        </w:rPr>
      </w:pPr>
      <w:bookmarkStart w:id="4" w:name="_Toc196778033"/>
      <w:r>
        <w:t xml:space="preserve">Figure </w:t>
      </w:r>
      <w:fldSimple w:instr=" SEQ Figure \* ARABIC ">
        <w:r>
          <w:rPr>
            <w:noProof/>
          </w:rPr>
          <w:t>3</w:t>
        </w:r>
      </w:fldSimple>
      <w:r>
        <w:t xml:space="preserve">. Time series included from Jupyter Notebook: </w:t>
      </w:r>
      <w:r w:rsidRPr="00076450">
        <w:rPr>
          <w:color w:val="808080" w:themeColor="background1" w:themeShade="80"/>
        </w:rPr>
        <w:t>financial_data_modeling.ipynb</w:t>
      </w:r>
      <w:r>
        <w:rPr>
          <w:color w:val="808080" w:themeColor="background1" w:themeShade="80"/>
        </w:rPr>
        <w:t>, section 2.4</w:t>
      </w:r>
      <w:bookmarkEnd w:id="4"/>
    </w:p>
    <w:p w14:paraId="7E7EC59C" w14:textId="77777777" w:rsidR="00FA2008" w:rsidRPr="00312443" w:rsidRDefault="00FA2008" w:rsidP="00FA2008">
      <w:pPr>
        <w:spacing w:after="120" w:line="360" w:lineRule="auto"/>
        <w:rPr>
          <w:rFonts w:asciiTheme="majorBidi" w:hAnsiTheme="majorBidi" w:cstheme="majorBidi"/>
          <w:b/>
          <w:bCs/>
        </w:rPr>
      </w:pPr>
      <w:bookmarkStart w:id="5" w:name="_Hlk196777890"/>
      <w:r w:rsidRPr="00312443">
        <w:rPr>
          <w:rFonts w:asciiTheme="majorBidi" w:hAnsiTheme="majorBidi" w:cstheme="majorBidi"/>
          <w:b/>
          <w:bCs/>
        </w:rPr>
        <w:t>Interpretation:</w:t>
      </w:r>
    </w:p>
    <w:p w14:paraId="5DDD506C" w14:textId="60FAFC14" w:rsidR="00FA2008" w:rsidRPr="00FA2008" w:rsidRDefault="00FA2008" w:rsidP="00FA2008">
      <w:pPr>
        <w:spacing w:after="120" w:line="360" w:lineRule="auto"/>
        <w:rPr>
          <w:rFonts w:asciiTheme="majorBidi" w:hAnsiTheme="majorBidi" w:cstheme="majorBidi"/>
        </w:rPr>
      </w:pPr>
      <w:r w:rsidRPr="00FA2008">
        <w:rPr>
          <w:rFonts w:asciiTheme="majorBidi" w:hAnsiTheme="majorBidi" w:cstheme="majorBidi"/>
        </w:rPr>
        <w:t>- The S&amp;P 500 (blue line) exhibits the highest amplitude in its movements, with noticeable spikes both upwards and downwards, especially around mid-year (June–July) and in the final quarter of 2024.</w:t>
      </w:r>
    </w:p>
    <w:p w14:paraId="0F0A0E6F" w14:textId="17A577EA" w:rsidR="00FA2008" w:rsidRPr="00FA2008" w:rsidRDefault="00FA2008" w:rsidP="00FA2008">
      <w:pPr>
        <w:spacing w:after="120" w:line="360" w:lineRule="auto"/>
        <w:rPr>
          <w:rFonts w:asciiTheme="majorBidi" w:hAnsiTheme="majorBidi" w:cstheme="majorBidi"/>
        </w:rPr>
      </w:pPr>
      <w:r w:rsidRPr="00FA2008">
        <w:rPr>
          <w:rFonts w:asciiTheme="majorBidi" w:hAnsiTheme="majorBidi" w:cstheme="majorBidi"/>
        </w:rPr>
        <w:t>- NASDAQ, Gold, and Oil display relatively tighter fluctuations and more stable paths compared to the S&amp;P 500, although occasional synchronized movements are visible, suggesting some common macroeconomic influences.</w:t>
      </w:r>
    </w:p>
    <w:p w14:paraId="3F93A66A" w14:textId="1EBC7A5A" w:rsidR="006F2CC0" w:rsidRDefault="00FA2008" w:rsidP="006F2CC0">
      <w:pPr>
        <w:spacing w:after="120" w:line="360" w:lineRule="auto"/>
        <w:rPr>
          <w:rFonts w:asciiTheme="majorBidi" w:hAnsiTheme="majorBidi" w:cstheme="majorBidi"/>
        </w:rPr>
      </w:pPr>
      <w:r w:rsidRPr="00FA2008">
        <w:rPr>
          <w:rFonts w:asciiTheme="majorBidi" w:hAnsiTheme="majorBidi" w:cstheme="majorBidi"/>
        </w:rPr>
        <w:t>- Periods of high volatility across all assets can correspond to major financial or geopolitical events, though further investigation would be needed to precisely link events to movements.</w:t>
      </w:r>
    </w:p>
    <w:bookmarkEnd w:id="5"/>
    <w:p w14:paraId="3FAE9175" w14:textId="77777777" w:rsidR="006F2CC0" w:rsidRDefault="006F2CC0">
      <w:pPr>
        <w:spacing w:after="160" w:line="259" w:lineRule="auto"/>
        <w:ind w:firstLine="0"/>
        <w:rPr>
          <w:rFonts w:asciiTheme="majorBidi" w:hAnsiTheme="majorBidi" w:cstheme="majorBidi"/>
        </w:rPr>
      </w:pPr>
      <w:r>
        <w:rPr>
          <w:rFonts w:asciiTheme="majorBidi" w:hAnsiTheme="majorBidi" w:cstheme="majorBidi"/>
        </w:rPr>
        <w:br w:type="page"/>
      </w:r>
    </w:p>
    <w:p w14:paraId="5B2E6A9A" w14:textId="77777777" w:rsidR="004D7764" w:rsidRPr="006F2CC0" w:rsidRDefault="004D7764" w:rsidP="006F2CC0">
      <w:pPr>
        <w:spacing w:after="120" w:line="360" w:lineRule="auto"/>
        <w:rPr>
          <w:rFonts w:asciiTheme="majorBidi" w:hAnsiTheme="majorBidi" w:cstheme="majorBidi"/>
        </w:rPr>
      </w:pPr>
    </w:p>
    <w:bookmarkEnd w:id="0"/>
    <w:p w14:paraId="04557C83" w14:textId="6A985D43" w:rsidR="00EF2F8A" w:rsidRDefault="00741844" w:rsidP="00EF2F8A">
      <w:r>
        <w:rPr>
          <w:noProof/>
        </w:rPr>
        <w:drawing>
          <wp:inline distT="0" distB="0" distL="0" distR="0" wp14:anchorId="2CAD1189" wp14:editId="31188348">
            <wp:extent cx="4514850" cy="3980882"/>
            <wp:effectExtent l="19050" t="19050" r="19050" b="19685"/>
            <wp:docPr id="39539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90176" name="Picture 395390176"/>
                    <pic:cNvPicPr/>
                  </pic:nvPicPr>
                  <pic:blipFill>
                    <a:blip r:embed="rId14">
                      <a:extLst>
                        <a:ext uri="{28A0092B-C50C-407E-A947-70E740481C1C}">
                          <a14:useLocalDpi xmlns:a14="http://schemas.microsoft.com/office/drawing/2010/main" val="0"/>
                        </a:ext>
                      </a:extLst>
                    </a:blip>
                    <a:stretch>
                      <a:fillRect/>
                    </a:stretch>
                  </pic:blipFill>
                  <pic:spPr>
                    <a:xfrm>
                      <a:off x="0" y="0"/>
                      <a:ext cx="4524338" cy="3989248"/>
                    </a:xfrm>
                    <a:prstGeom prst="rect">
                      <a:avLst/>
                    </a:prstGeom>
                    <a:ln>
                      <a:solidFill>
                        <a:schemeClr val="tx1"/>
                      </a:solidFill>
                    </a:ln>
                  </pic:spPr>
                </pic:pic>
              </a:graphicData>
            </a:graphic>
          </wp:inline>
        </w:drawing>
      </w:r>
    </w:p>
    <w:p w14:paraId="4A9AD4E6" w14:textId="358CC2BE" w:rsidR="00EF2F8A" w:rsidRDefault="00741844" w:rsidP="00343EDE">
      <w:pPr>
        <w:pStyle w:val="Caption"/>
        <w:jc w:val="center"/>
      </w:pPr>
      <w:bookmarkStart w:id="6" w:name="_Toc196778034"/>
      <w:r>
        <w:t xml:space="preserve">Figure </w:t>
      </w:r>
      <w:fldSimple w:instr=" SEQ Figure \* ARABIC ">
        <w:r w:rsidR="00FA2008">
          <w:rPr>
            <w:noProof/>
          </w:rPr>
          <w:t>4</w:t>
        </w:r>
      </w:fldSimple>
      <w:r w:rsidR="00343EDE">
        <w:t xml:space="preserve">. Correlation Heatmap </w:t>
      </w:r>
      <w:r w:rsidR="0072711F">
        <w:t>included</w:t>
      </w:r>
      <w:r w:rsidR="00343EDE">
        <w:t xml:space="preserve"> from Jupyter Notebook</w:t>
      </w:r>
      <w:r w:rsidR="00F84661">
        <w:t xml:space="preserve">: </w:t>
      </w:r>
      <w:r w:rsidR="00F84661" w:rsidRPr="00076450">
        <w:rPr>
          <w:color w:val="808080" w:themeColor="background1" w:themeShade="80"/>
        </w:rPr>
        <w:t>financial_data_modeling</w:t>
      </w:r>
      <w:r w:rsidR="00076450" w:rsidRPr="00076450">
        <w:rPr>
          <w:color w:val="808080" w:themeColor="background1" w:themeShade="80"/>
        </w:rPr>
        <w:t>.ipynb</w:t>
      </w:r>
      <w:r w:rsidR="006F2CC0">
        <w:rPr>
          <w:color w:val="808080" w:themeColor="background1" w:themeShade="80"/>
        </w:rPr>
        <w:t>, sec 2.5</w:t>
      </w:r>
      <w:bookmarkEnd w:id="6"/>
    </w:p>
    <w:p w14:paraId="33D3EA26" w14:textId="77777777" w:rsidR="006F2CC0" w:rsidRPr="00312443" w:rsidRDefault="006F2CC0" w:rsidP="006F2CC0">
      <w:pPr>
        <w:spacing w:after="120" w:line="360" w:lineRule="auto"/>
        <w:rPr>
          <w:rFonts w:asciiTheme="majorBidi" w:hAnsiTheme="majorBidi" w:cstheme="majorBidi"/>
          <w:b/>
          <w:bCs/>
        </w:rPr>
      </w:pPr>
      <w:r w:rsidRPr="00312443">
        <w:rPr>
          <w:rFonts w:asciiTheme="majorBidi" w:hAnsiTheme="majorBidi" w:cstheme="majorBidi"/>
          <w:b/>
          <w:bCs/>
        </w:rPr>
        <w:t>Interpretation:</w:t>
      </w:r>
    </w:p>
    <w:p w14:paraId="6D470DE7" w14:textId="77777777" w:rsidR="006F2CC0" w:rsidRPr="006F2CC0" w:rsidRDefault="006F2CC0" w:rsidP="006F2CC0">
      <w:pPr>
        <w:spacing w:after="120" w:line="360" w:lineRule="auto"/>
        <w:rPr>
          <w:rFonts w:asciiTheme="majorBidi" w:hAnsiTheme="majorBidi" w:cstheme="majorBidi"/>
          <w:lang w:val="en-AE"/>
        </w:rPr>
      </w:pPr>
      <w:r w:rsidRPr="00FA2008">
        <w:rPr>
          <w:rFonts w:asciiTheme="majorBidi" w:hAnsiTheme="majorBidi" w:cstheme="majorBidi"/>
        </w:rPr>
        <w:t xml:space="preserve">- </w:t>
      </w:r>
      <w:r w:rsidRPr="006F2CC0">
        <w:rPr>
          <w:rFonts w:asciiTheme="majorBidi" w:hAnsiTheme="majorBidi" w:cstheme="majorBidi"/>
          <w:lang w:val="en-AE"/>
        </w:rPr>
        <w:t>NASDAQ and Oil returns are highly positively correlated (0.96).</w:t>
      </w:r>
    </w:p>
    <w:p w14:paraId="689DF32B" w14:textId="5D533EA9" w:rsidR="006F2CC0" w:rsidRPr="00FA2008" w:rsidRDefault="006F2CC0" w:rsidP="006F2CC0">
      <w:pPr>
        <w:spacing w:after="120" w:line="360" w:lineRule="auto"/>
        <w:rPr>
          <w:rFonts w:asciiTheme="majorBidi" w:hAnsiTheme="majorBidi" w:cstheme="majorBidi"/>
          <w:lang w:val="en-AE"/>
        </w:rPr>
      </w:pPr>
      <w:r w:rsidRPr="00FA2008">
        <w:rPr>
          <w:rFonts w:asciiTheme="majorBidi" w:hAnsiTheme="majorBidi" w:cstheme="majorBidi"/>
        </w:rPr>
        <w:t xml:space="preserve">- </w:t>
      </w:r>
      <w:r w:rsidRPr="006F2CC0">
        <w:rPr>
          <w:rFonts w:asciiTheme="majorBidi" w:hAnsiTheme="majorBidi" w:cstheme="majorBidi"/>
          <w:lang w:val="en-AE"/>
        </w:rPr>
        <w:t>S&amp;P 500 returns have very weak correlations with all other assets: 0.03 with NASDAQ, 0.20 with Gold, and 0.02 with Oil, suggesting S&amp;P 500 movements were relatively independent.</w:t>
      </w:r>
    </w:p>
    <w:p w14:paraId="0E86ABCA" w14:textId="5995B5BE" w:rsidR="006F2CC0" w:rsidRPr="006F2CC0" w:rsidRDefault="006F2CC0" w:rsidP="006F2CC0">
      <w:pPr>
        <w:spacing w:after="120" w:line="360" w:lineRule="auto"/>
        <w:rPr>
          <w:rFonts w:asciiTheme="majorBidi" w:hAnsiTheme="majorBidi" w:cstheme="majorBidi"/>
          <w:lang w:val="en-AE"/>
        </w:rPr>
      </w:pPr>
      <w:r w:rsidRPr="00FA2008">
        <w:rPr>
          <w:rFonts w:asciiTheme="majorBidi" w:hAnsiTheme="majorBidi" w:cstheme="majorBidi"/>
        </w:rPr>
        <w:t xml:space="preserve">- </w:t>
      </w:r>
      <w:r w:rsidRPr="006F2CC0">
        <w:rPr>
          <w:rFonts w:asciiTheme="majorBidi" w:hAnsiTheme="majorBidi" w:cstheme="majorBidi"/>
          <w:lang w:val="en-AE"/>
        </w:rPr>
        <w:t>Gold returns exhibit low positive correlations with both stock indices and Oil, indicating that Gold behaved relatively independently, reinforcing its role as a diversification or safe-haven asset.</w:t>
      </w:r>
    </w:p>
    <w:p w14:paraId="14097209" w14:textId="24A49DAA" w:rsidR="006F2CC0" w:rsidRDefault="006F2CC0">
      <w:pPr>
        <w:spacing w:after="160" w:line="259" w:lineRule="auto"/>
        <w:ind w:firstLine="0"/>
        <w:rPr>
          <w:lang w:val="en-AE"/>
        </w:rPr>
      </w:pPr>
      <w:r>
        <w:rPr>
          <w:lang w:val="en-AE"/>
        </w:rPr>
        <w:br w:type="page"/>
      </w:r>
    </w:p>
    <w:p w14:paraId="5A4147FE" w14:textId="77777777" w:rsidR="00153DDB" w:rsidRPr="006F2CC0" w:rsidRDefault="00153DDB" w:rsidP="00153DDB">
      <w:pPr>
        <w:spacing w:after="160" w:line="259" w:lineRule="auto"/>
        <w:ind w:firstLine="0"/>
        <w:rPr>
          <w:lang w:val="en-AE"/>
        </w:rPr>
      </w:pPr>
    </w:p>
    <w:p w14:paraId="05AE7D83" w14:textId="25D98A4D" w:rsidR="00153DDB" w:rsidRPr="00FF0023" w:rsidRDefault="00153DDB" w:rsidP="003D3F10">
      <w:pPr>
        <w:pStyle w:val="Heading2"/>
        <w:numPr>
          <w:ilvl w:val="0"/>
          <w:numId w:val="1"/>
        </w:numPr>
        <w:spacing w:after="100" w:afterAutospacing="1"/>
        <w:ind w:left="714" w:hanging="357"/>
        <w:rPr>
          <w:rFonts w:asciiTheme="majorBidi" w:hAnsiTheme="majorBidi" w:cstheme="majorBidi"/>
        </w:rPr>
      </w:pPr>
      <w:r>
        <w:rPr>
          <w:rFonts w:asciiTheme="majorBidi" w:hAnsiTheme="majorBidi" w:cstheme="majorBidi"/>
        </w:rPr>
        <w:t>Econometric Modeling</w:t>
      </w:r>
    </w:p>
    <w:p w14:paraId="21AE08DC" w14:textId="77777777" w:rsidR="00AF24BC" w:rsidRPr="00AF24BC" w:rsidRDefault="00AF24BC" w:rsidP="003D3F10">
      <w:p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To investigate the relationship between commodity returns and stock indices, two Ordinary Least Squares (OLS) regression models were specified:</w:t>
      </w:r>
    </w:p>
    <w:p w14:paraId="2C96B232" w14:textId="77777777" w:rsidR="00AF24BC" w:rsidRPr="00AF24BC" w:rsidRDefault="00AF24BC" w:rsidP="00AF24BC">
      <w:pPr>
        <w:spacing w:before="100" w:beforeAutospacing="1" w:after="100" w:afterAutospacing="1" w:line="240" w:lineRule="auto"/>
        <w:ind w:firstLine="0"/>
        <w:rPr>
          <w:rFonts w:ascii="Times New Roman" w:eastAsia="Times New Roman" w:hAnsi="Times New Roman" w:cs="Times New Roman"/>
          <w:lang w:val="en-AE" w:eastAsia="en-AE"/>
        </w:rPr>
      </w:pPr>
      <w:r w:rsidRPr="00AF24BC">
        <w:rPr>
          <w:rFonts w:ascii="Times New Roman" w:eastAsia="Times New Roman" w:hAnsi="Times New Roman" w:cs="Times New Roman"/>
          <w:b/>
          <w:bCs/>
          <w:lang w:val="en-AE" w:eastAsia="en-AE"/>
        </w:rPr>
        <w:t>Model Specification:</w:t>
      </w:r>
    </w:p>
    <w:p w14:paraId="2C3EEC93" w14:textId="77777777" w:rsidR="00AF24BC" w:rsidRPr="003D3F10" w:rsidRDefault="00AF24BC" w:rsidP="00AF24BC">
      <w:pPr>
        <w:spacing w:before="100" w:beforeAutospacing="1" w:after="100" w:afterAutospacing="1" w:line="240" w:lineRule="auto"/>
        <w:ind w:firstLine="0"/>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For the S&amp;P 500 index:</w:t>
      </w:r>
    </w:p>
    <w:p w14:paraId="1CFFDED6" w14:textId="27EEC2D7" w:rsidR="00AF24BC" w:rsidRPr="00AF24BC" w:rsidRDefault="00000000" w:rsidP="00AF24BC">
      <w:pPr>
        <w:spacing w:before="100" w:beforeAutospacing="1" w:after="100" w:afterAutospacing="1" w:line="240" w:lineRule="auto"/>
        <w:ind w:firstLine="0"/>
        <w:rPr>
          <w:rFonts w:ascii="Times New Roman" w:eastAsia="Times New Roman" w:hAnsi="Times New Roman" w:cs="Times New Roman"/>
          <w:lang w:val="en-AE" w:eastAsia="en-AE"/>
        </w:rPr>
      </w:pPr>
      <m:oMathPara>
        <m:oMath>
          <m:sSub>
            <m:sSubPr>
              <m:ctrlPr>
                <w:rPr>
                  <w:rFonts w:ascii="Cambria Math" w:eastAsia="Times New Roman" w:hAnsi="Cambria Math" w:cs="Times New Roman"/>
                  <w:i/>
                  <w:lang w:eastAsia="en-AE"/>
                </w:rPr>
              </m:ctrlPr>
            </m:sSubPr>
            <m:e>
              <m:r>
                <w:rPr>
                  <w:rFonts w:ascii="Cambria Math" w:eastAsia="Times New Roman" w:hAnsi="Cambria Math" w:cs="Times New Roman"/>
                  <w:lang w:eastAsia="en-AE"/>
                </w:rPr>
                <m:t>SP500_Return</m:t>
              </m:r>
            </m:e>
            <m:sub>
              <m:r>
                <w:rPr>
                  <w:rFonts w:ascii="Cambria Math" w:eastAsia="Times New Roman" w:hAnsi="Cambria Math" w:cs="Times New Roman"/>
                  <w:lang w:eastAsia="en-AE"/>
                </w:rPr>
                <m:t>t</m:t>
              </m:r>
            </m:sub>
          </m:sSub>
          <m:r>
            <w:rPr>
              <w:rFonts w:ascii="Cambria Math" w:eastAsia="Times New Roman" w:hAnsi="Cambria Math" w:cs="Times New Roman"/>
              <w:lang w:eastAsia="en-AE"/>
            </w:rPr>
            <m:t>​</m:t>
          </m:r>
          <m:r>
            <m:rPr>
              <m:sty m:val="bi"/>
            </m:rPr>
            <w:rPr>
              <w:rFonts w:ascii="Cambria Math" w:eastAsia="Times New Roman" w:hAnsi="Cambria Math" w:cs="Times New Roman"/>
              <w:lang w:eastAsia="en-AE"/>
            </w:rPr>
            <m:t>=</m:t>
          </m:r>
          <m:r>
            <w:rPr>
              <w:rFonts w:ascii="Cambria Math" w:eastAsia="Times New Roman" w:hAnsi="Cambria Math" w:cs="Times New Roman"/>
              <w:lang w:eastAsia="en-AE"/>
            </w:rPr>
            <m:t>β0​+β1​×</m:t>
          </m:r>
          <m:sSub>
            <m:sSubPr>
              <m:ctrlPr>
                <w:rPr>
                  <w:rFonts w:ascii="Cambria Math" w:eastAsia="Times New Roman" w:hAnsi="Cambria Math" w:cs="Times New Roman"/>
                  <w:i/>
                  <w:lang w:eastAsia="en-AE"/>
                </w:rPr>
              </m:ctrlPr>
            </m:sSubPr>
            <m:e>
              <m:r>
                <w:rPr>
                  <w:rFonts w:ascii="Cambria Math" w:eastAsia="Times New Roman" w:hAnsi="Cambria Math" w:cs="Times New Roman"/>
                  <w:lang w:eastAsia="en-AE"/>
                </w:rPr>
                <m:t>Gold_Return​</m:t>
              </m:r>
            </m:e>
            <m:sub>
              <m:r>
                <w:rPr>
                  <w:rFonts w:ascii="Cambria Math" w:eastAsia="Times New Roman" w:hAnsi="Cambria Math" w:cs="Times New Roman"/>
                  <w:lang w:eastAsia="en-AE"/>
                </w:rPr>
                <m:t>t</m:t>
              </m:r>
            </m:sub>
          </m:sSub>
          <m:r>
            <w:rPr>
              <w:rFonts w:ascii="Cambria Math" w:eastAsia="Times New Roman" w:hAnsi="Cambria Math" w:cs="Times New Roman"/>
              <w:lang w:eastAsia="en-AE"/>
            </w:rPr>
            <m:t>+β2​×</m:t>
          </m:r>
          <m:sSub>
            <m:sSubPr>
              <m:ctrlPr>
                <w:rPr>
                  <w:rFonts w:ascii="Cambria Math" w:eastAsia="Times New Roman" w:hAnsi="Cambria Math" w:cs="Times New Roman"/>
                  <w:i/>
                  <w:lang w:eastAsia="en-AE"/>
                </w:rPr>
              </m:ctrlPr>
            </m:sSubPr>
            <m:e>
              <m:r>
                <w:rPr>
                  <w:rFonts w:ascii="Cambria Math" w:eastAsia="Times New Roman" w:hAnsi="Cambria Math" w:cs="Times New Roman"/>
                  <w:lang w:eastAsia="en-AE"/>
                </w:rPr>
                <m:t>Oil_Return</m:t>
              </m:r>
            </m:e>
            <m:sub>
              <m:r>
                <w:rPr>
                  <w:rFonts w:ascii="Cambria Math" w:eastAsia="Times New Roman" w:hAnsi="Cambria Math" w:cs="Times New Roman"/>
                  <w:lang w:eastAsia="en-AE"/>
                </w:rPr>
                <m:t>t</m:t>
              </m:r>
            </m:sub>
          </m:sSub>
          <m:r>
            <w:rPr>
              <w:rFonts w:ascii="Cambria Math" w:eastAsia="Times New Roman" w:hAnsi="Cambria Math" w:cs="Times New Roman"/>
              <w:lang w:eastAsia="en-AE"/>
            </w:rPr>
            <m:t>​+</m:t>
          </m:r>
          <m:sSub>
            <m:sSubPr>
              <m:ctrlPr>
                <w:rPr>
                  <w:rFonts w:ascii="Cambria Math" w:eastAsia="Times New Roman" w:hAnsi="Cambria Math" w:cs="Times New Roman"/>
                  <w:i/>
                  <w:lang w:eastAsia="en-AE"/>
                </w:rPr>
              </m:ctrlPr>
            </m:sSubPr>
            <m:e>
              <m:r>
                <w:rPr>
                  <w:rFonts w:ascii="Cambria Math" w:eastAsia="Times New Roman" w:hAnsi="Cambria Math" w:cs="Times New Roman"/>
                  <w:lang w:eastAsia="en-AE"/>
                </w:rPr>
                <m:t>ϵ</m:t>
              </m:r>
            </m:e>
            <m:sub>
              <m:r>
                <w:rPr>
                  <w:rFonts w:ascii="Cambria Math" w:eastAsia="Times New Roman" w:hAnsi="Cambria Math" w:cs="Times New Roman"/>
                  <w:lang w:eastAsia="en-AE"/>
                </w:rPr>
                <m:t>t</m:t>
              </m:r>
            </m:sub>
          </m:sSub>
          <m:r>
            <w:rPr>
              <w:rFonts w:ascii="Cambria Math" w:eastAsia="Times New Roman" w:hAnsi="Cambria Math" w:cs="Times New Roman"/>
              <w:lang w:eastAsia="en-AE"/>
            </w:rPr>
            <m:t>​</m:t>
          </m:r>
        </m:oMath>
      </m:oMathPara>
    </w:p>
    <w:p w14:paraId="68DC8FED" w14:textId="77777777" w:rsidR="00AF24BC" w:rsidRPr="003D3F10" w:rsidRDefault="00AF24BC" w:rsidP="00AF24BC">
      <w:pPr>
        <w:spacing w:before="100" w:beforeAutospacing="1" w:after="100" w:afterAutospacing="1" w:line="240" w:lineRule="auto"/>
        <w:ind w:firstLine="0"/>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For the NASDAQ index:</w:t>
      </w:r>
    </w:p>
    <w:p w14:paraId="14B7B2AF" w14:textId="3E926194" w:rsidR="00770E6B" w:rsidRPr="00AF24BC" w:rsidRDefault="00000000" w:rsidP="00770E6B">
      <w:pPr>
        <w:spacing w:before="100" w:beforeAutospacing="1" w:after="100" w:afterAutospacing="1" w:line="240" w:lineRule="auto"/>
        <w:ind w:firstLine="0"/>
        <w:rPr>
          <w:rFonts w:ascii="Times New Roman" w:eastAsia="Times New Roman" w:hAnsi="Times New Roman" w:cs="Times New Roman"/>
          <w:lang w:val="en-AE" w:eastAsia="en-AE"/>
        </w:rPr>
      </w:pPr>
      <m:oMathPara>
        <m:oMath>
          <m:sSub>
            <m:sSubPr>
              <m:ctrlPr>
                <w:rPr>
                  <w:rFonts w:ascii="Cambria Math" w:eastAsia="Times New Roman" w:hAnsi="Cambria Math" w:cs="Times New Roman"/>
                  <w:i/>
                  <w:lang w:eastAsia="en-AE"/>
                </w:rPr>
              </m:ctrlPr>
            </m:sSubPr>
            <m:e>
              <m:r>
                <w:rPr>
                  <w:rFonts w:ascii="Cambria Math" w:eastAsia="Times New Roman" w:hAnsi="Cambria Math" w:cs="Times New Roman"/>
                  <w:lang w:eastAsia="en-AE"/>
                </w:rPr>
                <m:t>NASDAQ_Return</m:t>
              </m:r>
            </m:e>
            <m:sub>
              <m:r>
                <w:rPr>
                  <w:rFonts w:ascii="Cambria Math" w:eastAsia="Times New Roman" w:hAnsi="Cambria Math" w:cs="Times New Roman"/>
                  <w:lang w:eastAsia="en-AE"/>
                </w:rPr>
                <m:t>t</m:t>
              </m:r>
            </m:sub>
          </m:sSub>
          <m:r>
            <w:rPr>
              <w:rFonts w:ascii="Cambria Math" w:eastAsia="Times New Roman" w:hAnsi="Cambria Math" w:cs="Times New Roman"/>
              <w:lang w:eastAsia="en-AE"/>
            </w:rPr>
            <m:t>​</m:t>
          </m:r>
          <m:r>
            <m:rPr>
              <m:sty m:val="bi"/>
            </m:rPr>
            <w:rPr>
              <w:rFonts w:ascii="Cambria Math" w:eastAsia="Times New Roman" w:hAnsi="Cambria Math" w:cs="Times New Roman"/>
              <w:lang w:eastAsia="en-AE"/>
            </w:rPr>
            <m:t>=</m:t>
          </m:r>
          <m:r>
            <w:rPr>
              <w:rStyle w:val="mord"/>
              <w:rFonts w:ascii="Cambria Math" w:hAnsi="Cambria Math"/>
            </w:rPr>
            <m:t>α0</m:t>
          </m:r>
          <m:r>
            <m:rPr>
              <m:sty m:val="p"/>
            </m:rPr>
            <w:rPr>
              <w:rStyle w:val="vlist-s"/>
              <w:rFonts w:ascii="Cambria Math" w:hAnsi="Cambria Math"/>
            </w:rPr>
            <m:t>​</m:t>
          </m:r>
          <m:r>
            <m:rPr>
              <m:sty m:val="b"/>
            </m:rPr>
            <w:rPr>
              <w:rStyle w:val="mbin"/>
              <w:rFonts w:ascii="Cambria Math" w:hAnsi="Cambria Math"/>
            </w:rPr>
            <m:t>+</m:t>
          </m:r>
          <m:r>
            <w:rPr>
              <w:rStyle w:val="mord"/>
              <w:rFonts w:ascii="Cambria Math" w:hAnsi="Cambria Math"/>
            </w:rPr>
            <m:t>α1</m:t>
          </m:r>
          <m:r>
            <m:rPr>
              <m:sty m:val="p"/>
            </m:rPr>
            <w:rPr>
              <w:rStyle w:val="vlist-s"/>
              <w:rFonts w:ascii="Cambria Math" w:hAnsi="Cambria Math"/>
            </w:rPr>
            <m:t>​</m:t>
          </m:r>
          <m:r>
            <w:rPr>
              <w:rFonts w:ascii="Cambria Math" w:eastAsia="Times New Roman" w:hAnsi="Cambria Math" w:cs="Times New Roman"/>
              <w:lang w:eastAsia="en-AE"/>
            </w:rPr>
            <m:t>×</m:t>
          </m:r>
          <m:sSub>
            <m:sSubPr>
              <m:ctrlPr>
                <w:rPr>
                  <w:rFonts w:ascii="Cambria Math" w:eastAsia="Times New Roman" w:hAnsi="Cambria Math" w:cs="Times New Roman"/>
                  <w:i/>
                  <w:lang w:eastAsia="en-AE"/>
                </w:rPr>
              </m:ctrlPr>
            </m:sSubPr>
            <m:e>
              <m:r>
                <w:rPr>
                  <w:rFonts w:ascii="Cambria Math" w:eastAsia="Times New Roman" w:hAnsi="Cambria Math" w:cs="Times New Roman"/>
                  <w:lang w:eastAsia="en-AE"/>
                </w:rPr>
                <m:t>Gold_Return​</m:t>
              </m:r>
            </m:e>
            <m:sub>
              <m:r>
                <w:rPr>
                  <w:rFonts w:ascii="Cambria Math" w:eastAsia="Times New Roman" w:hAnsi="Cambria Math" w:cs="Times New Roman"/>
                  <w:lang w:eastAsia="en-AE"/>
                </w:rPr>
                <m:t>t</m:t>
              </m:r>
            </m:sub>
          </m:sSub>
          <m:r>
            <w:rPr>
              <w:rFonts w:ascii="Cambria Math" w:eastAsia="Times New Roman" w:hAnsi="Cambria Math" w:cs="Times New Roman"/>
              <w:lang w:eastAsia="en-AE"/>
            </w:rPr>
            <m:t>+</m:t>
          </m:r>
          <m:r>
            <m:rPr>
              <m:sty m:val="p"/>
            </m:rPr>
            <w:rPr>
              <w:rStyle w:val="mord"/>
              <w:rFonts w:ascii="Cambria Math" w:hAnsi="Cambria Math"/>
            </w:rPr>
            <m:t>α2</m:t>
          </m:r>
          <m:r>
            <w:rPr>
              <w:rFonts w:ascii="Cambria Math" w:eastAsia="Times New Roman" w:hAnsi="Cambria Math" w:cs="Times New Roman"/>
              <w:lang w:eastAsia="en-AE"/>
            </w:rPr>
            <m:t>​×</m:t>
          </m:r>
          <m:sSub>
            <m:sSubPr>
              <m:ctrlPr>
                <w:rPr>
                  <w:rFonts w:ascii="Cambria Math" w:eastAsia="Times New Roman" w:hAnsi="Cambria Math" w:cs="Times New Roman"/>
                  <w:i/>
                  <w:lang w:eastAsia="en-AE"/>
                </w:rPr>
              </m:ctrlPr>
            </m:sSubPr>
            <m:e>
              <m:r>
                <w:rPr>
                  <w:rFonts w:ascii="Cambria Math" w:eastAsia="Times New Roman" w:hAnsi="Cambria Math" w:cs="Times New Roman"/>
                  <w:lang w:eastAsia="en-AE"/>
                </w:rPr>
                <m:t>Oil_Return</m:t>
              </m:r>
            </m:e>
            <m:sub>
              <m:r>
                <w:rPr>
                  <w:rFonts w:ascii="Cambria Math" w:eastAsia="Times New Roman" w:hAnsi="Cambria Math" w:cs="Times New Roman"/>
                  <w:lang w:eastAsia="en-AE"/>
                </w:rPr>
                <m:t>t</m:t>
              </m:r>
            </m:sub>
          </m:sSub>
          <m:r>
            <w:rPr>
              <w:rFonts w:ascii="Cambria Math" w:eastAsia="Times New Roman" w:hAnsi="Cambria Math" w:cs="Times New Roman"/>
              <w:lang w:eastAsia="en-AE"/>
            </w:rPr>
            <m:t>​+</m:t>
          </m:r>
          <m:sSub>
            <m:sSubPr>
              <m:ctrlPr>
                <w:rPr>
                  <w:rFonts w:ascii="Cambria Math" w:eastAsia="Times New Roman" w:hAnsi="Cambria Math" w:cs="Times New Roman"/>
                  <w:i/>
                  <w:lang w:eastAsia="en-AE"/>
                </w:rPr>
              </m:ctrlPr>
            </m:sSubPr>
            <m:e>
              <m:r>
                <w:rPr>
                  <w:rFonts w:ascii="Cambria Math" w:eastAsia="Times New Roman" w:hAnsi="Cambria Math" w:cs="Times New Roman"/>
                  <w:lang w:eastAsia="en-AE"/>
                </w:rPr>
                <m:t>ϵ</m:t>
              </m:r>
            </m:e>
            <m:sub>
              <m:r>
                <w:rPr>
                  <w:rFonts w:ascii="Cambria Math" w:eastAsia="Times New Roman" w:hAnsi="Cambria Math" w:cs="Times New Roman"/>
                  <w:lang w:eastAsia="en-AE"/>
                </w:rPr>
                <m:t>t</m:t>
              </m:r>
            </m:sub>
          </m:sSub>
          <m:r>
            <w:rPr>
              <w:rFonts w:ascii="Cambria Math" w:eastAsia="Times New Roman" w:hAnsi="Cambria Math" w:cs="Times New Roman"/>
              <w:lang w:eastAsia="en-AE"/>
            </w:rPr>
            <m:t>​</m:t>
          </m:r>
        </m:oMath>
      </m:oMathPara>
    </w:p>
    <w:p w14:paraId="0A82BCFC" w14:textId="77777777" w:rsidR="00AF24BC" w:rsidRPr="00AF24BC" w:rsidRDefault="00AF24BC" w:rsidP="00AF24BC">
      <w:pPr>
        <w:spacing w:before="100" w:beforeAutospacing="1" w:after="100" w:afterAutospacing="1" w:line="240" w:lineRule="auto"/>
        <w:ind w:firstLine="0"/>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Where:</w:t>
      </w:r>
    </w:p>
    <w:p w14:paraId="5498CCC3" w14:textId="29978374" w:rsidR="00AF24BC" w:rsidRPr="00AF24BC" w:rsidRDefault="00AF24BC" w:rsidP="00AF24BC">
      <w:pPr>
        <w:numPr>
          <w:ilvl w:val="0"/>
          <w:numId w:val="3"/>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β0,</w:t>
      </w:r>
      <w:r w:rsidR="006E51FB" w:rsidRPr="003D3F10">
        <w:rPr>
          <w:rFonts w:ascii="Times New Roman" w:eastAsia="Times New Roman" w:hAnsi="Times New Roman" w:cs="Times New Roman"/>
          <w:lang w:val="en-AE" w:eastAsia="en-AE"/>
        </w:rPr>
        <w:t xml:space="preserve"> </w:t>
      </w:r>
      <w:r w:rsidRPr="00AF24BC">
        <w:rPr>
          <w:rFonts w:ascii="Times New Roman" w:eastAsia="Times New Roman" w:hAnsi="Times New Roman" w:cs="Times New Roman"/>
          <w:lang w:val="en-AE" w:eastAsia="en-AE"/>
        </w:rPr>
        <w:t>α0</w:t>
      </w:r>
      <w:r w:rsidR="00C93DBC" w:rsidRPr="003D3F10">
        <w:rPr>
          <w:rFonts w:ascii="Times New Roman" w:eastAsia="Times New Roman" w:hAnsi="Times New Roman" w:cs="Times New Roman"/>
          <w:lang w:val="en-AE" w:eastAsia="en-AE"/>
        </w:rPr>
        <w:t xml:space="preserve"> </w:t>
      </w:r>
      <w:r w:rsidRPr="00AF24BC">
        <w:rPr>
          <w:rFonts w:ascii="Times New Roman" w:eastAsia="Times New Roman" w:hAnsi="Times New Roman" w:cs="Times New Roman"/>
          <w:lang w:val="en-AE" w:eastAsia="en-AE"/>
        </w:rPr>
        <w:t>​ represent the intercepts,</w:t>
      </w:r>
    </w:p>
    <w:p w14:paraId="04F43E0B" w14:textId="326D63B9" w:rsidR="00AF24BC" w:rsidRPr="00AF24BC" w:rsidRDefault="00AF24BC" w:rsidP="00AF24BC">
      <w:pPr>
        <w:numPr>
          <w:ilvl w:val="0"/>
          <w:numId w:val="3"/>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β1,</w:t>
      </w:r>
      <w:r w:rsidR="006E51FB" w:rsidRPr="003D3F10">
        <w:rPr>
          <w:rFonts w:ascii="Times New Roman" w:eastAsia="Times New Roman" w:hAnsi="Times New Roman" w:cs="Times New Roman"/>
          <w:lang w:val="en-AE" w:eastAsia="en-AE"/>
        </w:rPr>
        <w:t xml:space="preserve"> </w:t>
      </w:r>
      <w:r w:rsidRPr="00AF24BC">
        <w:rPr>
          <w:rFonts w:ascii="Times New Roman" w:eastAsia="Times New Roman" w:hAnsi="Times New Roman" w:cs="Times New Roman"/>
          <w:lang w:val="en-AE" w:eastAsia="en-AE"/>
        </w:rPr>
        <w:t>α1</w:t>
      </w:r>
      <w:r w:rsidR="00C93DBC" w:rsidRPr="003D3F10">
        <w:rPr>
          <w:rFonts w:ascii="Times New Roman" w:eastAsia="Times New Roman" w:hAnsi="Times New Roman" w:cs="Times New Roman"/>
          <w:lang w:val="en-AE" w:eastAsia="en-AE"/>
        </w:rPr>
        <w:t xml:space="preserve"> </w:t>
      </w:r>
      <w:r w:rsidRPr="00AF24BC">
        <w:rPr>
          <w:rFonts w:ascii="Times New Roman" w:eastAsia="Times New Roman" w:hAnsi="Times New Roman" w:cs="Times New Roman"/>
          <w:lang w:val="en-AE" w:eastAsia="en-AE"/>
        </w:rPr>
        <w:t>​ measure the sensitivity of stock returns to Gold returns,</w:t>
      </w:r>
    </w:p>
    <w:p w14:paraId="28FCE05F" w14:textId="6B54E1F5" w:rsidR="00AF24BC" w:rsidRPr="00AF24BC" w:rsidRDefault="00AF24BC" w:rsidP="00AF24BC">
      <w:pPr>
        <w:numPr>
          <w:ilvl w:val="0"/>
          <w:numId w:val="3"/>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β2,</w:t>
      </w:r>
      <w:r w:rsidR="006E51FB" w:rsidRPr="003D3F10">
        <w:rPr>
          <w:rFonts w:ascii="Times New Roman" w:eastAsia="Times New Roman" w:hAnsi="Times New Roman" w:cs="Times New Roman"/>
          <w:lang w:val="en-AE" w:eastAsia="en-AE"/>
        </w:rPr>
        <w:t xml:space="preserve"> </w:t>
      </w:r>
      <w:r w:rsidRPr="00AF24BC">
        <w:rPr>
          <w:rFonts w:ascii="Times New Roman" w:eastAsia="Times New Roman" w:hAnsi="Times New Roman" w:cs="Times New Roman"/>
          <w:lang w:val="en-AE" w:eastAsia="en-AE"/>
        </w:rPr>
        <w:t>α2</w:t>
      </w:r>
      <w:r w:rsidR="00C93DBC" w:rsidRPr="003D3F10">
        <w:rPr>
          <w:rFonts w:ascii="Times New Roman" w:eastAsia="Times New Roman" w:hAnsi="Times New Roman" w:cs="Times New Roman"/>
          <w:lang w:val="en-AE" w:eastAsia="en-AE"/>
        </w:rPr>
        <w:t xml:space="preserve"> </w:t>
      </w:r>
      <w:r w:rsidRPr="00AF24BC">
        <w:rPr>
          <w:rFonts w:ascii="Times New Roman" w:eastAsia="Times New Roman" w:hAnsi="Times New Roman" w:cs="Times New Roman"/>
          <w:lang w:val="en-AE" w:eastAsia="en-AE"/>
        </w:rPr>
        <w:t>​ measure the sensitivity of stock returns to Oil returns,</w:t>
      </w:r>
    </w:p>
    <w:p w14:paraId="6EDF4E77" w14:textId="77777777" w:rsidR="00333709" w:rsidRDefault="00AF24BC" w:rsidP="00333709">
      <w:pPr>
        <w:numPr>
          <w:ilvl w:val="0"/>
          <w:numId w:val="3"/>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ϵt,</w:t>
      </w:r>
      <w:r w:rsidR="006E51FB" w:rsidRPr="003D3F10">
        <w:rPr>
          <w:rFonts w:ascii="Times New Roman" w:eastAsia="Times New Roman" w:hAnsi="Times New Roman" w:cs="Times New Roman"/>
          <w:lang w:val="en-AE" w:eastAsia="en-AE"/>
        </w:rPr>
        <w:t xml:space="preserve"> </w:t>
      </w:r>
      <w:r w:rsidRPr="00AF24BC">
        <w:rPr>
          <w:rFonts w:ascii="Times New Roman" w:eastAsia="Times New Roman" w:hAnsi="Times New Roman" w:cs="Times New Roman"/>
          <w:lang w:val="en-AE" w:eastAsia="en-AE"/>
        </w:rPr>
        <w:t>ut are error terms capturing unobserved influences</w:t>
      </w:r>
      <w:r w:rsidR="00333709">
        <w:rPr>
          <w:rFonts w:ascii="Times New Roman" w:eastAsia="Times New Roman" w:hAnsi="Times New Roman" w:cs="Times New Roman"/>
          <w:lang w:val="en-AE" w:eastAsia="en-AE"/>
        </w:rPr>
        <w:t xml:space="preserve"> at time t.</w:t>
      </w:r>
    </w:p>
    <w:p w14:paraId="3602E366" w14:textId="7CAF5F13" w:rsidR="00AF24BC" w:rsidRPr="00333709" w:rsidRDefault="00AF24BC" w:rsidP="00333709">
      <w:pPr>
        <w:spacing w:before="100" w:beforeAutospacing="1" w:after="100" w:afterAutospacing="1" w:line="240" w:lineRule="auto"/>
        <w:ind w:left="360" w:firstLine="0"/>
        <w:rPr>
          <w:rFonts w:ascii="Times New Roman" w:eastAsia="Times New Roman" w:hAnsi="Times New Roman" w:cs="Times New Roman"/>
          <w:lang w:val="en-AE" w:eastAsia="en-AE"/>
        </w:rPr>
      </w:pPr>
      <w:r w:rsidRPr="00333709">
        <w:rPr>
          <w:rFonts w:ascii="Times New Roman" w:eastAsia="Times New Roman" w:hAnsi="Times New Roman" w:cs="Times New Roman"/>
          <w:lang w:val="en-AE" w:eastAsia="en-AE"/>
        </w:rPr>
        <w:t>OLS was chosen due to its simplicity, interpretability, and effectiveness under classical assumptions.</w:t>
      </w:r>
    </w:p>
    <w:p w14:paraId="27DA87EA" w14:textId="77777777" w:rsidR="00AF24BC" w:rsidRPr="00AF24BC" w:rsidRDefault="00AF24BC" w:rsidP="00AF24BC">
      <w:pPr>
        <w:spacing w:before="100" w:beforeAutospacing="1" w:after="100" w:afterAutospacing="1" w:line="240" w:lineRule="auto"/>
        <w:ind w:firstLine="0"/>
        <w:rPr>
          <w:rFonts w:ascii="Times New Roman" w:eastAsia="Times New Roman" w:hAnsi="Times New Roman" w:cs="Times New Roman"/>
          <w:lang w:val="en-AE" w:eastAsia="en-AE"/>
        </w:rPr>
      </w:pPr>
      <w:r w:rsidRPr="00AF24BC">
        <w:rPr>
          <w:rFonts w:ascii="Times New Roman" w:eastAsia="Times New Roman" w:hAnsi="Times New Roman" w:cs="Times New Roman"/>
          <w:b/>
          <w:bCs/>
          <w:lang w:val="en-AE" w:eastAsia="en-AE"/>
        </w:rPr>
        <w:t>Model Diagnostics:</w:t>
      </w:r>
    </w:p>
    <w:p w14:paraId="059CD6E8" w14:textId="77777777" w:rsidR="00AF24BC" w:rsidRPr="00AF24BC" w:rsidRDefault="00AF24BC" w:rsidP="00AF24BC">
      <w:pPr>
        <w:numPr>
          <w:ilvl w:val="0"/>
          <w:numId w:val="4"/>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Linearity: Residuals vs Fitted plots displayed random dispersion without systematic patterns.</w:t>
      </w:r>
    </w:p>
    <w:p w14:paraId="6CED2CEA" w14:textId="77777777" w:rsidR="00AF24BC" w:rsidRPr="00AF24BC" w:rsidRDefault="00AF24BC" w:rsidP="00AF24BC">
      <w:pPr>
        <w:numPr>
          <w:ilvl w:val="0"/>
          <w:numId w:val="4"/>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Homoskedasticity: Breusch-Pagan tests produced p-values &gt; 0.05, indicating constant variance.</w:t>
      </w:r>
    </w:p>
    <w:p w14:paraId="61E0F468" w14:textId="77777777" w:rsidR="00AF24BC" w:rsidRPr="00AF24BC" w:rsidRDefault="00AF24BC" w:rsidP="00AF24BC">
      <w:pPr>
        <w:numPr>
          <w:ilvl w:val="0"/>
          <w:numId w:val="4"/>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Normality: Shapiro-Wilk tests confirmed normal distribution of residuals (p &gt; 0.05).</w:t>
      </w:r>
    </w:p>
    <w:p w14:paraId="0E0D2D19" w14:textId="77777777" w:rsidR="00AF24BC" w:rsidRPr="00AF24BC" w:rsidRDefault="00AF24BC" w:rsidP="00AF24BC">
      <w:pPr>
        <w:spacing w:before="100" w:beforeAutospacing="1" w:after="100" w:afterAutospacing="1" w:line="240" w:lineRule="auto"/>
        <w:ind w:firstLine="0"/>
        <w:rPr>
          <w:rFonts w:ascii="Times New Roman" w:eastAsia="Times New Roman" w:hAnsi="Times New Roman" w:cs="Times New Roman"/>
          <w:lang w:val="en-AE" w:eastAsia="en-AE"/>
        </w:rPr>
      </w:pPr>
      <w:r w:rsidRPr="00AF24BC">
        <w:rPr>
          <w:rFonts w:ascii="Times New Roman" w:eastAsia="Times New Roman" w:hAnsi="Times New Roman" w:cs="Times New Roman"/>
          <w:b/>
          <w:bCs/>
          <w:lang w:val="en-AE" w:eastAsia="en-AE"/>
        </w:rPr>
        <w:t>Results:</w:t>
      </w:r>
    </w:p>
    <w:p w14:paraId="2A87E077" w14:textId="77777777" w:rsidR="00AF24BC" w:rsidRPr="00AF24BC" w:rsidRDefault="00AF24BC" w:rsidP="00AF24BC">
      <w:pPr>
        <w:numPr>
          <w:ilvl w:val="0"/>
          <w:numId w:val="5"/>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S&amp;P 500 Model: R² = 0.0418; Adjusted R² = 0.0341; RMSE = 1.7777.</w:t>
      </w:r>
    </w:p>
    <w:p w14:paraId="39BAFA8A" w14:textId="77777777" w:rsidR="00AF24BC" w:rsidRPr="00AF24BC" w:rsidRDefault="00AF24BC" w:rsidP="00AF24BC">
      <w:pPr>
        <w:numPr>
          <w:ilvl w:val="0"/>
          <w:numId w:val="5"/>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NASDAQ Model: R² = 0.9183; Adjusted R² = 0.9176; RMSE = 0.3241.</w:t>
      </w:r>
    </w:p>
    <w:p w14:paraId="552A5AA5" w14:textId="77777777" w:rsidR="00AF24BC" w:rsidRPr="00AF24BC" w:rsidRDefault="00AF24BC" w:rsidP="00AF24BC">
      <w:pPr>
        <w:spacing w:before="100" w:beforeAutospacing="1" w:after="100" w:afterAutospacing="1" w:line="240" w:lineRule="auto"/>
        <w:ind w:firstLine="0"/>
        <w:rPr>
          <w:rFonts w:ascii="Times New Roman" w:eastAsia="Times New Roman" w:hAnsi="Times New Roman" w:cs="Times New Roman"/>
          <w:lang w:val="en-AE" w:eastAsia="en-AE"/>
        </w:rPr>
      </w:pPr>
      <w:r w:rsidRPr="00AF24BC">
        <w:rPr>
          <w:rFonts w:ascii="Times New Roman" w:eastAsia="Times New Roman" w:hAnsi="Times New Roman" w:cs="Times New Roman"/>
          <w:b/>
          <w:bCs/>
          <w:lang w:val="en-AE" w:eastAsia="en-AE"/>
        </w:rPr>
        <w:t>Interpretation:</w:t>
      </w:r>
    </w:p>
    <w:p w14:paraId="54E455F7" w14:textId="77777777" w:rsidR="00AF24BC" w:rsidRPr="00AF24BC" w:rsidRDefault="00AF24BC" w:rsidP="00AF24BC">
      <w:pPr>
        <w:numPr>
          <w:ilvl w:val="0"/>
          <w:numId w:val="6"/>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In the S&amp;P 500 model, Gold returns were statistically significant, suggesting their influence on market movements.</w:t>
      </w:r>
    </w:p>
    <w:p w14:paraId="5383DB33" w14:textId="792E8AE9" w:rsidR="003543BD" w:rsidRDefault="00AF24BC" w:rsidP="003543BD">
      <w:pPr>
        <w:numPr>
          <w:ilvl w:val="0"/>
          <w:numId w:val="6"/>
        </w:numPr>
        <w:spacing w:before="100" w:beforeAutospacing="1" w:after="100" w:afterAutospacing="1" w:line="240" w:lineRule="auto"/>
        <w:rPr>
          <w:rFonts w:ascii="Times New Roman" w:eastAsia="Times New Roman" w:hAnsi="Times New Roman" w:cs="Times New Roman"/>
          <w:lang w:val="en-AE" w:eastAsia="en-AE"/>
        </w:rPr>
      </w:pPr>
      <w:r w:rsidRPr="00AF24BC">
        <w:rPr>
          <w:rFonts w:ascii="Times New Roman" w:eastAsia="Times New Roman" w:hAnsi="Times New Roman" w:cs="Times New Roman"/>
          <w:lang w:val="en-AE" w:eastAsia="en-AE"/>
        </w:rPr>
        <w:t>In the NASDAQ model, Oil returns exhibited a strong and statistically significant effect, reflecting NASDAQ's sensitivity to macroeconomic factors</w:t>
      </w:r>
    </w:p>
    <w:p w14:paraId="34A35632" w14:textId="6A9278EC" w:rsidR="009A2164" w:rsidRPr="003543BD" w:rsidRDefault="003543BD" w:rsidP="003543BD">
      <w:pPr>
        <w:spacing w:after="160" w:line="259" w:lineRule="auto"/>
        <w:ind w:firstLine="0"/>
        <w:rPr>
          <w:rFonts w:ascii="Times New Roman" w:eastAsia="Times New Roman" w:hAnsi="Times New Roman" w:cs="Times New Roman"/>
          <w:i/>
          <w:iCs/>
          <w:color w:val="767171" w:themeColor="background2" w:themeShade="80"/>
          <w:sz w:val="20"/>
          <w:szCs w:val="20"/>
          <w:lang w:val="en-AE" w:eastAsia="en-AE"/>
        </w:rPr>
        <w:sectPr w:rsidR="009A2164" w:rsidRPr="003543BD" w:rsidSect="009A2164">
          <w:headerReference w:type="default" r:id="rId15"/>
          <w:footerReference w:type="default" r:id="rId16"/>
          <w:headerReference w:type="first" r:id="rId17"/>
          <w:footerReference w:type="first" r:id="rId18"/>
          <w:pgSz w:w="12240" w:h="15840"/>
          <w:pgMar w:top="1440" w:right="1440" w:bottom="1440" w:left="1440" w:header="720" w:footer="720" w:gutter="0"/>
          <w:cols w:space="720"/>
          <w:docGrid w:linePitch="360"/>
        </w:sectPr>
      </w:pPr>
      <w:r w:rsidRPr="003543BD">
        <w:rPr>
          <w:rFonts w:ascii="Times New Roman" w:eastAsia="Times New Roman" w:hAnsi="Times New Roman" w:cs="Times New Roman"/>
          <w:i/>
          <w:iCs/>
          <w:color w:val="767171" w:themeColor="background2" w:themeShade="80"/>
          <w:sz w:val="20"/>
          <w:szCs w:val="20"/>
          <w:lang w:eastAsia="en-AE"/>
        </w:rPr>
        <w:t>*</w:t>
      </w:r>
      <w:r>
        <w:rPr>
          <w:rFonts w:ascii="Times New Roman" w:eastAsia="Times New Roman" w:hAnsi="Times New Roman" w:cs="Times New Roman"/>
          <w:i/>
          <w:iCs/>
          <w:color w:val="767171" w:themeColor="background2" w:themeShade="80"/>
          <w:sz w:val="20"/>
          <w:szCs w:val="20"/>
          <w:lang w:eastAsia="en-AE"/>
        </w:rPr>
        <w:t>f</w:t>
      </w:r>
      <w:r w:rsidRPr="003543BD">
        <w:rPr>
          <w:rFonts w:ascii="Times New Roman" w:eastAsia="Times New Roman" w:hAnsi="Times New Roman" w:cs="Times New Roman"/>
          <w:i/>
          <w:iCs/>
          <w:color w:val="767171" w:themeColor="background2" w:themeShade="80"/>
          <w:sz w:val="20"/>
          <w:szCs w:val="20"/>
          <w:lang w:eastAsia="en-AE"/>
        </w:rPr>
        <w:t xml:space="preserve">or a more detailed presentation of the econometric modeling process, including explicit residual diagnostics, visual interpretations, and full coding output, please refer to the accompanying Jupyter Notebook file </w:t>
      </w:r>
      <w:r>
        <w:rPr>
          <w:rFonts w:ascii="Times New Roman" w:eastAsia="Times New Roman" w:hAnsi="Times New Roman" w:cs="Times New Roman"/>
          <w:i/>
          <w:iCs/>
          <w:color w:val="767171" w:themeColor="background2" w:themeShade="80"/>
          <w:sz w:val="20"/>
          <w:szCs w:val="20"/>
          <w:lang w:eastAsia="en-AE"/>
        </w:rPr>
        <w:t xml:space="preserve">financial_data_modeling.ipynb </w:t>
      </w:r>
      <w:r w:rsidRPr="003543BD">
        <w:rPr>
          <w:rFonts w:ascii="Times New Roman" w:eastAsia="Times New Roman" w:hAnsi="Times New Roman" w:cs="Times New Roman"/>
          <w:i/>
          <w:iCs/>
          <w:color w:val="767171" w:themeColor="background2" w:themeShade="80"/>
          <w:sz w:val="20"/>
          <w:szCs w:val="20"/>
          <w:lang w:eastAsia="en-AE"/>
        </w:rPr>
        <w:t>submitted with this report.</w:t>
      </w:r>
    </w:p>
    <w:p w14:paraId="5CEE70FB" w14:textId="13DA2361" w:rsidR="00844858" w:rsidRPr="00FF0023" w:rsidRDefault="00844858" w:rsidP="00844858">
      <w:pPr>
        <w:pStyle w:val="Heading2"/>
        <w:numPr>
          <w:ilvl w:val="0"/>
          <w:numId w:val="1"/>
        </w:numPr>
        <w:rPr>
          <w:rFonts w:asciiTheme="majorBidi" w:hAnsiTheme="majorBidi" w:cstheme="majorBidi"/>
        </w:rPr>
      </w:pPr>
      <w:r>
        <w:rPr>
          <w:rFonts w:asciiTheme="majorBidi" w:hAnsiTheme="majorBidi" w:cstheme="majorBidi"/>
        </w:rPr>
        <w:lastRenderedPageBreak/>
        <w:t>Conclusions and Discussion</w:t>
      </w:r>
    </w:p>
    <w:p w14:paraId="23DAEAFB" w14:textId="21F3D6CC" w:rsidR="00B7206E" w:rsidRPr="00B7206E" w:rsidRDefault="00844858" w:rsidP="00B7206E">
      <w:pPr>
        <w:spacing w:line="360" w:lineRule="auto"/>
        <w:ind w:firstLine="0"/>
        <w:rPr>
          <w:rFonts w:asciiTheme="majorBidi" w:hAnsiTheme="majorBidi" w:cstheme="majorBidi"/>
          <w:lang w:val="en-AE"/>
        </w:rPr>
      </w:pPr>
      <w:r w:rsidRPr="00844858">
        <w:rPr>
          <w:rFonts w:asciiTheme="majorBidi" w:hAnsiTheme="majorBidi" w:cstheme="majorBidi"/>
        </w:rPr>
        <w:t>The findings partially support the research hypotheses. Gold returns significantly impact S&amp;P 500 returns, while Oil returns significantly drive NASDAQ returns. The stronger goodness of fit in the NASDAQ model suggests that Oil market developments are more tightly linked to technology-oriented equities.</w:t>
      </w:r>
      <w:r w:rsidR="00B7206E">
        <w:rPr>
          <w:rFonts w:asciiTheme="majorBidi" w:hAnsiTheme="majorBidi" w:cstheme="majorBidi"/>
        </w:rPr>
        <w:t xml:space="preserve"> </w:t>
      </w:r>
      <w:r w:rsidR="00B7206E" w:rsidRPr="00B7206E">
        <w:rPr>
          <w:rFonts w:asciiTheme="majorBidi" w:hAnsiTheme="majorBidi" w:cstheme="majorBidi"/>
          <w:lang w:val="en-AE"/>
        </w:rPr>
        <w:t>Gold prices show a significant influence on S&amp;P 500 returns, consistent with the role of gold as an alternative investment during periods of market uncertainty.</w:t>
      </w:r>
      <w:r w:rsidRPr="00844858">
        <w:rPr>
          <w:rFonts w:asciiTheme="majorBidi" w:hAnsiTheme="majorBidi" w:cstheme="majorBidi"/>
        </w:rPr>
        <w:br/>
      </w:r>
      <w:r w:rsidRPr="00844858">
        <w:rPr>
          <w:rFonts w:asciiTheme="majorBidi" w:hAnsiTheme="majorBidi" w:cstheme="majorBidi"/>
        </w:rPr>
        <w:br/>
        <w:t>However, limitations include the relatively short analysis period and the exclusion of other potential explanatory variables</w:t>
      </w:r>
      <w:r w:rsidR="00B7206E">
        <w:rPr>
          <w:rFonts w:asciiTheme="majorBidi" w:hAnsiTheme="majorBidi" w:cstheme="majorBidi"/>
        </w:rPr>
        <w:t xml:space="preserve">; </w:t>
      </w:r>
      <w:r w:rsidR="00B7206E" w:rsidRPr="00B7206E">
        <w:rPr>
          <w:rFonts w:asciiTheme="majorBidi" w:hAnsiTheme="majorBidi" w:cstheme="majorBidi"/>
          <w:lang w:val="en-AE"/>
        </w:rPr>
        <w:t>he models use only two independent variables (Gold and Oil returns), while stock indices are influenced by a much wider set of factors (macroeconomic data, monetary policy, geopolitical events).</w:t>
      </w:r>
      <w:r w:rsidR="00B7206E">
        <w:rPr>
          <w:rFonts w:asciiTheme="majorBidi" w:hAnsiTheme="majorBidi" w:cstheme="majorBidi"/>
          <w:lang w:val="en-AE"/>
        </w:rPr>
        <w:t xml:space="preserve"> Moreover, t</w:t>
      </w:r>
      <w:r w:rsidR="00B7206E" w:rsidRPr="00B7206E">
        <w:rPr>
          <w:rFonts w:asciiTheme="majorBidi" w:hAnsiTheme="majorBidi" w:cstheme="majorBidi"/>
          <w:lang w:val="en-AE"/>
        </w:rPr>
        <w:t>he low R² in the S&amp;P 500 model indicates that many important factors affecting S&amp;P 500 returns are missing.</w:t>
      </w:r>
    </w:p>
    <w:p w14:paraId="573FFAC5" w14:textId="207560AC" w:rsidR="00B7206E" w:rsidRPr="00B7206E" w:rsidRDefault="00B7206E" w:rsidP="00B7206E">
      <w:pPr>
        <w:spacing w:line="360" w:lineRule="auto"/>
        <w:ind w:firstLine="0"/>
        <w:rPr>
          <w:rFonts w:asciiTheme="majorBidi" w:hAnsiTheme="majorBidi" w:cstheme="majorBidi"/>
          <w:lang w:val="en-AE"/>
        </w:rPr>
      </w:pPr>
    </w:p>
    <w:p w14:paraId="337A0EB4" w14:textId="5AC78C5B" w:rsidR="00B7206E" w:rsidRPr="00B7206E" w:rsidRDefault="00844858" w:rsidP="00B7206E">
      <w:pPr>
        <w:spacing w:line="360" w:lineRule="auto"/>
        <w:ind w:firstLine="0"/>
        <w:rPr>
          <w:rFonts w:asciiTheme="majorBidi" w:hAnsiTheme="majorBidi" w:cstheme="majorBidi"/>
          <w:lang w:val="en-AE"/>
        </w:rPr>
      </w:pPr>
      <w:r w:rsidRPr="00844858">
        <w:rPr>
          <w:rFonts w:asciiTheme="majorBidi" w:hAnsiTheme="majorBidi" w:cstheme="majorBidi"/>
        </w:rPr>
        <w:t>Future research could address these limitations by incorporating a broader set of predictors</w:t>
      </w:r>
      <w:r w:rsidR="00B7206E">
        <w:rPr>
          <w:rFonts w:asciiTheme="majorBidi" w:hAnsiTheme="majorBidi" w:cstheme="majorBidi"/>
        </w:rPr>
        <w:t xml:space="preserve"> </w:t>
      </w:r>
      <w:r w:rsidR="00B7206E" w:rsidRPr="00B7206E">
        <w:rPr>
          <w:rFonts w:asciiTheme="majorBidi" w:hAnsiTheme="majorBidi" w:cstheme="majorBidi"/>
          <w:lang w:val="en-AE"/>
        </w:rPr>
        <w:t>such as interest rates, inflation rates, corporate earnings, and geopolitical risk indices</w:t>
      </w:r>
      <w:r w:rsidR="00B7206E">
        <w:rPr>
          <w:rFonts w:asciiTheme="majorBidi" w:hAnsiTheme="majorBidi" w:cstheme="majorBidi"/>
          <w:lang w:val="en-AE"/>
        </w:rPr>
        <w:t xml:space="preserve">. To better capture complex financial dynamics, </w:t>
      </w:r>
      <w:r w:rsidRPr="00844858">
        <w:rPr>
          <w:rFonts w:asciiTheme="majorBidi" w:hAnsiTheme="majorBidi" w:cstheme="majorBidi"/>
        </w:rPr>
        <w:t xml:space="preserve">exploring sector-specific effects, and applying non-linear econometric models such as GARCH </w:t>
      </w:r>
      <w:r w:rsidR="00B7206E">
        <w:rPr>
          <w:rFonts w:asciiTheme="majorBidi" w:hAnsiTheme="majorBidi" w:cstheme="majorBidi"/>
        </w:rPr>
        <w:t xml:space="preserve">or regime-switching models is an option to look into. </w:t>
      </w:r>
      <w:r w:rsidR="00B7206E" w:rsidRPr="00B7206E">
        <w:rPr>
          <w:rFonts w:asciiTheme="majorBidi" w:hAnsiTheme="majorBidi" w:cstheme="majorBidi"/>
          <w:lang w:val="en-AE"/>
        </w:rPr>
        <w:t xml:space="preserve">Sector-specific analysis could </w:t>
      </w:r>
      <w:r w:rsidR="00B7206E">
        <w:rPr>
          <w:rFonts w:asciiTheme="majorBidi" w:hAnsiTheme="majorBidi" w:cstheme="majorBidi"/>
          <w:lang w:val="en-AE"/>
        </w:rPr>
        <w:t xml:space="preserve">also </w:t>
      </w:r>
      <w:r w:rsidR="00B7206E" w:rsidRPr="00B7206E">
        <w:rPr>
          <w:rFonts w:asciiTheme="majorBidi" w:hAnsiTheme="majorBidi" w:cstheme="majorBidi"/>
          <w:lang w:val="en-AE"/>
        </w:rPr>
        <w:t>reveal different sensitivities within sectors of the stock market to commodity price movements.</w:t>
      </w:r>
    </w:p>
    <w:p w14:paraId="32949394" w14:textId="77777777" w:rsidR="00B7206E" w:rsidRDefault="00B7206E">
      <w:pPr>
        <w:spacing w:after="160" w:line="259" w:lineRule="auto"/>
        <w:ind w:firstLine="0"/>
        <w:rPr>
          <w:rFonts w:asciiTheme="majorBidi" w:hAnsiTheme="majorBidi" w:cstheme="majorBidi"/>
        </w:rPr>
      </w:pPr>
      <w:r>
        <w:rPr>
          <w:rFonts w:asciiTheme="majorBidi" w:hAnsiTheme="majorBidi" w:cstheme="majorBidi"/>
        </w:rPr>
        <w:br w:type="page"/>
      </w:r>
    </w:p>
    <w:p w14:paraId="167FEABA" w14:textId="77777777" w:rsidR="576062CF" w:rsidRDefault="576062CF" w:rsidP="00B7206E">
      <w:pPr>
        <w:spacing w:line="360" w:lineRule="auto"/>
        <w:ind w:firstLine="0"/>
      </w:pPr>
    </w:p>
    <w:p w14:paraId="7DCB0E69" w14:textId="67E3BF11" w:rsidR="00844858" w:rsidRPr="00844858" w:rsidRDefault="00000000" w:rsidP="00844858">
      <w:pPr>
        <w:pStyle w:val="SectionTitle"/>
      </w:pPr>
      <w:sdt>
        <w:sdtPr>
          <w:id w:val="682713825"/>
          <w:placeholder>
            <w:docPart w:val="3EBF8B4B53C7435DAA7E1969AE581172"/>
          </w:placeholder>
          <w:temporary/>
          <w:showingPlcHdr/>
          <w15:appearance w15:val="hidden"/>
        </w:sdtPr>
        <w:sdtContent>
          <w:r w:rsidR="00FA4C9E" w:rsidRPr="00844858">
            <w:rPr>
              <w:rFonts w:asciiTheme="majorBidi" w:hAnsiTheme="majorBidi" w:cstheme="majorBidi"/>
              <w:sz w:val="24"/>
              <w:szCs w:val="24"/>
            </w:rPr>
            <w:t>References</w:t>
          </w:r>
        </w:sdtContent>
      </w:sdt>
      <w:r w:rsidR="576062CF" w:rsidRPr="576062CF">
        <w:t xml:space="preserve"> </w:t>
      </w:r>
    </w:p>
    <w:p w14:paraId="71F4D8A3" w14:textId="77777777" w:rsidR="00844858" w:rsidRPr="001B3E3B" w:rsidRDefault="00844858" w:rsidP="00844858">
      <w:pPr>
        <w:spacing w:after="200" w:line="276" w:lineRule="auto"/>
        <w:ind w:left="720" w:hanging="720"/>
        <w:rPr>
          <w:rFonts w:ascii="Times New Roman" w:eastAsia="MS Mincho" w:hAnsi="Times New Roman" w:cs="Arial"/>
          <w:szCs w:val="20"/>
        </w:rPr>
      </w:pPr>
      <w:r w:rsidRPr="00770E6B">
        <w:rPr>
          <w:rFonts w:ascii="Times New Roman" w:eastAsia="MS Mincho" w:hAnsi="Times New Roman" w:cs="Arial"/>
          <w:szCs w:val="20"/>
          <w:lang w:val="en-AE"/>
        </w:rPr>
        <w:t xml:space="preserve">Baur, D. G., &amp; Lucey, B. M. (2010). </w:t>
      </w:r>
      <w:r w:rsidRPr="001B3E3B">
        <w:rPr>
          <w:rFonts w:ascii="Times New Roman" w:eastAsia="MS Mincho" w:hAnsi="Times New Roman" w:cs="Arial"/>
          <w:szCs w:val="20"/>
        </w:rPr>
        <w:t>Is gold a hedge or a safe haven? An analysis of stocks, bonds and gold. Financial Review, 45(2), 217–229. https://doi.org/10.1111/j.1540-6288.2010.00244.x</w:t>
      </w:r>
    </w:p>
    <w:p w14:paraId="5927E737" w14:textId="77777777" w:rsidR="00844858" w:rsidRPr="001B3E3B" w:rsidRDefault="00844858" w:rsidP="00844858">
      <w:pPr>
        <w:spacing w:after="200" w:line="276" w:lineRule="auto"/>
        <w:ind w:left="720" w:hanging="720"/>
        <w:rPr>
          <w:rFonts w:ascii="Times New Roman" w:eastAsia="MS Mincho" w:hAnsi="Times New Roman" w:cs="Arial"/>
          <w:szCs w:val="20"/>
        </w:rPr>
      </w:pPr>
      <w:r w:rsidRPr="001B3E3B">
        <w:rPr>
          <w:rFonts w:ascii="Times New Roman" w:eastAsia="MS Mincho" w:hAnsi="Times New Roman" w:cs="Arial"/>
          <w:szCs w:val="20"/>
        </w:rPr>
        <w:t>Hammoudeh, S., &amp; Aleisa, E. (2004). Dynamic relationships among GCC stock markets and NYMEX oil futures. Contemporary Economic Policy, 22(2), 250–269. https://doi.org/10.1093/cep/byh018</w:t>
      </w:r>
    </w:p>
    <w:p w14:paraId="6ADE0883" w14:textId="24945EE6" w:rsidR="00844858" w:rsidRPr="001B3E3B" w:rsidRDefault="00844858" w:rsidP="00844858">
      <w:pPr>
        <w:spacing w:after="200" w:line="276" w:lineRule="auto"/>
        <w:ind w:left="720" w:hanging="720"/>
        <w:rPr>
          <w:rFonts w:ascii="Times New Roman" w:eastAsia="MS Mincho" w:hAnsi="Times New Roman" w:cs="Arial"/>
          <w:szCs w:val="20"/>
        </w:rPr>
      </w:pPr>
      <w:r w:rsidRPr="001B3E3B">
        <w:rPr>
          <w:rFonts w:ascii="Times New Roman" w:eastAsia="MS Mincho" w:hAnsi="Times New Roman" w:cs="Arial"/>
          <w:szCs w:val="20"/>
        </w:rPr>
        <w:t xml:space="preserve">Kilian, L., &amp; Park, C. (2009). The impact of oil price shocks on the U.S. stock market. International Economic Review, 50(4), 1267–1287. </w:t>
      </w:r>
      <w:r w:rsidR="00AF24BC" w:rsidRPr="00AF24BC">
        <w:rPr>
          <w:rFonts w:ascii="Times New Roman" w:eastAsia="MS Mincho" w:hAnsi="Times New Roman" w:cs="Arial"/>
          <w:szCs w:val="20"/>
        </w:rPr>
        <w:t>https://onlinelibrary.wiley.com/doi/10.1111/j.1468-2354.2009.00568.x</w:t>
      </w:r>
    </w:p>
    <w:p w14:paraId="62F97A21" w14:textId="1CA4649C" w:rsidR="00844858" w:rsidRPr="001B3E3B" w:rsidRDefault="00844858" w:rsidP="00844858">
      <w:pPr>
        <w:spacing w:after="200" w:line="276" w:lineRule="auto"/>
        <w:ind w:left="720" w:hanging="720"/>
        <w:rPr>
          <w:rFonts w:ascii="Times New Roman" w:eastAsia="MS Mincho" w:hAnsi="Times New Roman" w:cs="Arial"/>
          <w:szCs w:val="20"/>
        </w:rPr>
      </w:pPr>
      <w:r w:rsidRPr="001B3E3B">
        <w:rPr>
          <w:rFonts w:ascii="Times New Roman" w:eastAsia="MS Mincho" w:hAnsi="Times New Roman" w:cs="Arial"/>
          <w:szCs w:val="20"/>
        </w:rPr>
        <w:t xml:space="preserve">Narayan, P. K., &amp; Narayan, S. (2010). Modelling oil price volatility. Energy Economics, 32(2), 496–502. </w:t>
      </w:r>
      <w:r w:rsidR="00AF24BC" w:rsidRPr="00AF24BC">
        <w:rPr>
          <w:rFonts w:ascii="Times New Roman" w:eastAsia="MS Mincho" w:hAnsi="Times New Roman" w:cs="Arial"/>
          <w:szCs w:val="20"/>
        </w:rPr>
        <w:t>https://www.sciencedirect.com/science/article/pii/S030142150700331X</w:t>
      </w:r>
    </w:p>
    <w:p w14:paraId="096AB75A" w14:textId="1573AED2" w:rsidR="576062CF" w:rsidRDefault="00844858" w:rsidP="006F2CC0">
      <w:pPr>
        <w:spacing w:after="200" w:line="276" w:lineRule="auto"/>
        <w:ind w:left="720" w:hanging="720"/>
      </w:pPr>
      <w:r w:rsidRPr="001B3E3B">
        <w:rPr>
          <w:rFonts w:ascii="Times New Roman" w:eastAsia="MS Mincho" w:hAnsi="Times New Roman" w:cs="Arial"/>
          <w:szCs w:val="20"/>
        </w:rPr>
        <w:t xml:space="preserve">Sadorsky, P. (1999). Oil price shocks and stock market activity. Energy Economics, 21(5), 449–469. </w:t>
      </w:r>
      <w:hyperlink r:id="rId19" w:history="1">
        <w:r w:rsidR="00770E6B" w:rsidRPr="0002224E">
          <w:rPr>
            <w:rStyle w:val="Hyperlink"/>
            <w:rFonts w:ascii="Times New Roman" w:eastAsia="MS Mincho" w:hAnsi="Times New Roman" w:cs="Arial"/>
            <w:szCs w:val="20"/>
          </w:rPr>
          <w:t>https://doi.org/10.1016/S0140-9883(99)00020-1</w:t>
        </w:r>
      </w:hyperlink>
    </w:p>
    <w:p w14:paraId="6B96EA73" w14:textId="77777777" w:rsidR="00FB2A29" w:rsidRDefault="00FB2A29" w:rsidP="006F2CC0">
      <w:pPr>
        <w:spacing w:after="200" w:line="276" w:lineRule="auto"/>
        <w:ind w:left="720" w:hanging="720"/>
        <w:rPr>
          <w:rFonts w:ascii="Times New Roman" w:eastAsia="MS Mincho" w:hAnsi="Times New Roman" w:cs="Arial"/>
          <w:szCs w:val="20"/>
        </w:rPr>
      </w:pPr>
    </w:p>
    <w:p w14:paraId="0D0C82BC" w14:textId="3ACFD744" w:rsidR="00FB2A29" w:rsidRPr="00FB2A29" w:rsidRDefault="00FB2A29" w:rsidP="00FB2A29">
      <w:pPr>
        <w:spacing w:after="200" w:line="276" w:lineRule="auto"/>
        <w:ind w:left="720" w:hanging="720"/>
        <w:jc w:val="center"/>
        <w:rPr>
          <w:rFonts w:ascii="Times New Roman" w:eastAsia="MS Mincho" w:hAnsi="Times New Roman" w:cs="Arial"/>
          <w:b/>
          <w:bCs/>
          <w:szCs w:val="20"/>
        </w:rPr>
      </w:pPr>
      <w:r w:rsidRPr="00FB2A29">
        <w:rPr>
          <w:rFonts w:ascii="Times New Roman" w:eastAsia="MS Mincho" w:hAnsi="Times New Roman" w:cs="Arial"/>
          <w:b/>
          <w:bCs/>
          <w:szCs w:val="20"/>
        </w:rPr>
        <w:t>Table of Figures</w:t>
      </w:r>
    </w:p>
    <w:p w14:paraId="51A7A47B" w14:textId="07E3B33A" w:rsidR="00FB2A29" w:rsidRDefault="00FB2A29">
      <w:pPr>
        <w:pStyle w:val="TableofFigures"/>
        <w:tabs>
          <w:tab w:val="right" w:leader="dot" w:pos="9350"/>
        </w:tabs>
        <w:rPr>
          <w:rFonts w:eastAsiaTheme="minorEastAsia" w:cstheme="minorBidi"/>
          <w:i w:val="0"/>
          <w:iCs w:val="0"/>
          <w:noProof/>
          <w:kern w:val="2"/>
          <w:sz w:val="24"/>
          <w:lang w:val="en-AE" w:eastAsia="en-AE"/>
          <w14:ligatures w14:val="standardContextual"/>
        </w:rPr>
      </w:pPr>
      <w:r>
        <w:rPr>
          <w:rFonts w:ascii="Times New Roman" w:eastAsia="MS Mincho" w:hAnsi="Times New Roman" w:cs="Arial"/>
          <w:szCs w:val="20"/>
        </w:rPr>
        <w:fldChar w:fldCharType="begin"/>
      </w:r>
      <w:r>
        <w:rPr>
          <w:rFonts w:ascii="Times New Roman" w:eastAsia="MS Mincho" w:hAnsi="Times New Roman" w:cs="Arial"/>
          <w:szCs w:val="20"/>
        </w:rPr>
        <w:instrText xml:space="preserve"> TOC \h \z \c "Figure" </w:instrText>
      </w:r>
      <w:r>
        <w:rPr>
          <w:rFonts w:ascii="Times New Roman" w:eastAsia="MS Mincho" w:hAnsi="Times New Roman" w:cs="Arial"/>
          <w:szCs w:val="20"/>
        </w:rPr>
        <w:fldChar w:fldCharType="separate"/>
      </w:r>
      <w:hyperlink w:anchor="_Toc196778031" w:history="1">
        <w:r w:rsidRPr="003B252A">
          <w:rPr>
            <w:rStyle w:val="Hyperlink"/>
            <w:noProof/>
          </w:rPr>
          <w:t>Figure 1. Histograms included from Jupyter Notebook: financial_data_modeling.ipynb, section 2.1</w:t>
        </w:r>
        <w:r>
          <w:rPr>
            <w:noProof/>
            <w:webHidden/>
          </w:rPr>
          <w:tab/>
        </w:r>
        <w:r>
          <w:rPr>
            <w:noProof/>
            <w:webHidden/>
          </w:rPr>
          <w:fldChar w:fldCharType="begin"/>
        </w:r>
        <w:r>
          <w:rPr>
            <w:noProof/>
            <w:webHidden/>
          </w:rPr>
          <w:instrText xml:space="preserve"> PAGEREF _Toc196778031 \h </w:instrText>
        </w:r>
        <w:r>
          <w:rPr>
            <w:noProof/>
            <w:webHidden/>
          </w:rPr>
        </w:r>
        <w:r>
          <w:rPr>
            <w:noProof/>
            <w:webHidden/>
          </w:rPr>
          <w:fldChar w:fldCharType="separate"/>
        </w:r>
        <w:r>
          <w:rPr>
            <w:noProof/>
            <w:webHidden/>
          </w:rPr>
          <w:t>5</w:t>
        </w:r>
        <w:r>
          <w:rPr>
            <w:noProof/>
            <w:webHidden/>
          </w:rPr>
          <w:fldChar w:fldCharType="end"/>
        </w:r>
      </w:hyperlink>
    </w:p>
    <w:p w14:paraId="275DEFA2" w14:textId="52F74DE5" w:rsidR="00FB2A29" w:rsidRDefault="00FB2A29">
      <w:pPr>
        <w:pStyle w:val="TableofFigures"/>
        <w:tabs>
          <w:tab w:val="right" w:leader="dot" w:pos="9350"/>
        </w:tabs>
        <w:rPr>
          <w:rFonts w:eastAsiaTheme="minorEastAsia" w:cstheme="minorBidi"/>
          <w:i w:val="0"/>
          <w:iCs w:val="0"/>
          <w:noProof/>
          <w:kern w:val="2"/>
          <w:sz w:val="24"/>
          <w:lang w:val="en-AE" w:eastAsia="en-AE"/>
          <w14:ligatures w14:val="standardContextual"/>
        </w:rPr>
      </w:pPr>
      <w:hyperlink w:anchor="_Toc196778032" w:history="1">
        <w:r w:rsidRPr="003B252A">
          <w:rPr>
            <w:rStyle w:val="Hyperlink"/>
            <w:noProof/>
          </w:rPr>
          <w:t>Figure 2. Boxplot figure included from Jupyter Notebook: financial_data_modeling.ipynb, section 2.3</w:t>
        </w:r>
        <w:r>
          <w:rPr>
            <w:noProof/>
            <w:webHidden/>
          </w:rPr>
          <w:tab/>
        </w:r>
        <w:r>
          <w:rPr>
            <w:noProof/>
            <w:webHidden/>
          </w:rPr>
          <w:fldChar w:fldCharType="begin"/>
        </w:r>
        <w:r>
          <w:rPr>
            <w:noProof/>
            <w:webHidden/>
          </w:rPr>
          <w:instrText xml:space="preserve"> PAGEREF _Toc196778032 \h </w:instrText>
        </w:r>
        <w:r>
          <w:rPr>
            <w:noProof/>
            <w:webHidden/>
          </w:rPr>
        </w:r>
        <w:r>
          <w:rPr>
            <w:noProof/>
            <w:webHidden/>
          </w:rPr>
          <w:fldChar w:fldCharType="separate"/>
        </w:r>
        <w:r>
          <w:rPr>
            <w:noProof/>
            <w:webHidden/>
          </w:rPr>
          <w:t>6</w:t>
        </w:r>
        <w:r>
          <w:rPr>
            <w:noProof/>
            <w:webHidden/>
          </w:rPr>
          <w:fldChar w:fldCharType="end"/>
        </w:r>
      </w:hyperlink>
    </w:p>
    <w:p w14:paraId="59BED15F" w14:textId="21E6E262" w:rsidR="00FB2A29" w:rsidRDefault="00FB2A29">
      <w:pPr>
        <w:pStyle w:val="TableofFigures"/>
        <w:tabs>
          <w:tab w:val="right" w:leader="dot" w:pos="9350"/>
        </w:tabs>
        <w:rPr>
          <w:rFonts w:eastAsiaTheme="minorEastAsia" w:cstheme="minorBidi"/>
          <w:i w:val="0"/>
          <w:iCs w:val="0"/>
          <w:noProof/>
          <w:kern w:val="2"/>
          <w:sz w:val="24"/>
          <w:lang w:val="en-AE" w:eastAsia="en-AE"/>
          <w14:ligatures w14:val="standardContextual"/>
        </w:rPr>
      </w:pPr>
      <w:hyperlink w:anchor="_Toc196778033" w:history="1">
        <w:r w:rsidRPr="003B252A">
          <w:rPr>
            <w:rStyle w:val="Hyperlink"/>
            <w:noProof/>
          </w:rPr>
          <w:t>Figure 3. Time series included from Jupyter Notebook: financial_data_modeling.ipynb, section 2.4</w:t>
        </w:r>
        <w:r>
          <w:rPr>
            <w:noProof/>
            <w:webHidden/>
          </w:rPr>
          <w:tab/>
        </w:r>
        <w:r>
          <w:rPr>
            <w:noProof/>
            <w:webHidden/>
          </w:rPr>
          <w:fldChar w:fldCharType="begin"/>
        </w:r>
        <w:r>
          <w:rPr>
            <w:noProof/>
            <w:webHidden/>
          </w:rPr>
          <w:instrText xml:space="preserve"> PAGEREF _Toc196778033 \h </w:instrText>
        </w:r>
        <w:r>
          <w:rPr>
            <w:noProof/>
            <w:webHidden/>
          </w:rPr>
        </w:r>
        <w:r>
          <w:rPr>
            <w:noProof/>
            <w:webHidden/>
          </w:rPr>
          <w:fldChar w:fldCharType="separate"/>
        </w:r>
        <w:r>
          <w:rPr>
            <w:noProof/>
            <w:webHidden/>
          </w:rPr>
          <w:t>7</w:t>
        </w:r>
        <w:r>
          <w:rPr>
            <w:noProof/>
            <w:webHidden/>
          </w:rPr>
          <w:fldChar w:fldCharType="end"/>
        </w:r>
      </w:hyperlink>
    </w:p>
    <w:p w14:paraId="08731A35" w14:textId="56388FF3" w:rsidR="00FB2A29" w:rsidRDefault="00FB2A29">
      <w:pPr>
        <w:pStyle w:val="TableofFigures"/>
        <w:tabs>
          <w:tab w:val="right" w:leader="dot" w:pos="9350"/>
        </w:tabs>
        <w:rPr>
          <w:rFonts w:eastAsiaTheme="minorEastAsia" w:cstheme="minorBidi"/>
          <w:i w:val="0"/>
          <w:iCs w:val="0"/>
          <w:noProof/>
          <w:kern w:val="2"/>
          <w:sz w:val="24"/>
          <w:lang w:val="en-AE" w:eastAsia="en-AE"/>
          <w14:ligatures w14:val="standardContextual"/>
        </w:rPr>
      </w:pPr>
      <w:hyperlink w:anchor="_Toc196778034" w:history="1">
        <w:r w:rsidRPr="003B252A">
          <w:rPr>
            <w:rStyle w:val="Hyperlink"/>
            <w:noProof/>
          </w:rPr>
          <w:t>Figure 4. Correlation Heatmap included from Jupyter Notebook: financial_data_modeling.ipynb, sec 2.5</w:t>
        </w:r>
        <w:r>
          <w:rPr>
            <w:noProof/>
            <w:webHidden/>
          </w:rPr>
          <w:tab/>
        </w:r>
        <w:r>
          <w:rPr>
            <w:noProof/>
            <w:webHidden/>
          </w:rPr>
          <w:fldChar w:fldCharType="begin"/>
        </w:r>
        <w:r>
          <w:rPr>
            <w:noProof/>
            <w:webHidden/>
          </w:rPr>
          <w:instrText xml:space="preserve"> PAGEREF _Toc196778034 \h </w:instrText>
        </w:r>
        <w:r>
          <w:rPr>
            <w:noProof/>
            <w:webHidden/>
          </w:rPr>
        </w:r>
        <w:r>
          <w:rPr>
            <w:noProof/>
            <w:webHidden/>
          </w:rPr>
          <w:fldChar w:fldCharType="separate"/>
        </w:r>
        <w:r>
          <w:rPr>
            <w:noProof/>
            <w:webHidden/>
          </w:rPr>
          <w:t>8</w:t>
        </w:r>
        <w:r>
          <w:rPr>
            <w:noProof/>
            <w:webHidden/>
          </w:rPr>
          <w:fldChar w:fldCharType="end"/>
        </w:r>
      </w:hyperlink>
    </w:p>
    <w:p w14:paraId="018522A4" w14:textId="42C11DEC" w:rsidR="00FB2A29" w:rsidRPr="006F2CC0" w:rsidRDefault="00FB2A29" w:rsidP="006F2CC0">
      <w:pPr>
        <w:spacing w:after="200" w:line="276" w:lineRule="auto"/>
        <w:ind w:left="720" w:hanging="720"/>
        <w:rPr>
          <w:rFonts w:ascii="Times New Roman" w:eastAsia="MS Mincho" w:hAnsi="Times New Roman" w:cs="Arial"/>
          <w:szCs w:val="20"/>
        </w:rPr>
      </w:pPr>
      <w:r>
        <w:rPr>
          <w:rFonts w:ascii="Times New Roman" w:eastAsia="MS Mincho" w:hAnsi="Times New Roman" w:cs="Arial"/>
          <w:szCs w:val="20"/>
        </w:rPr>
        <w:fldChar w:fldCharType="end"/>
      </w:r>
    </w:p>
    <w:sectPr w:rsidR="00FB2A29" w:rsidRPr="006F2CC0" w:rsidSect="00E51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DEA17" w14:textId="77777777" w:rsidR="00100393" w:rsidRDefault="00100393">
      <w:pPr>
        <w:spacing w:line="240" w:lineRule="auto"/>
      </w:pPr>
      <w:r>
        <w:separator/>
      </w:r>
    </w:p>
  </w:endnote>
  <w:endnote w:type="continuationSeparator" w:id="0">
    <w:p w14:paraId="560F4B99" w14:textId="77777777" w:rsidR="00100393" w:rsidRDefault="00100393">
      <w:pPr>
        <w:spacing w:line="240" w:lineRule="auto"/>
      </w:pPr>
      <w:r>
        <w:continuationSeparator/>
      </w:r>
    </w:p>
  </w:endnote>
  <w:endnote w:type="continuationNotice" w:id="1">
    <w:p w14:paraId="1A18171D" w14:textId="77777777" w:rsidR="00100393" w:rsidRDefault="001003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15496A35" w14:textId="77777777" w:rsidTr="733B038C">
      <w:tc>
        <w:tcPr>
          <w:tcW w:w="3120" w:type="dxa"/>
        </w:tcPr>
        <w:p w14:paraId="7ED9BDA6" w14:textId="77777777" w:rsidR="733B038C" w:rsidRDefault="733B038C" w:rsidP="733B038C">
          <w:pPr>
            <w:pStyle w:val="Header"/>
            <w:ind w:left="-115"/>
          </w:pPr>
        </w:p>
      </w:tc>
      <w:tc>
        <w:tcPr>
          <w:tcW w:w="3120" w:type="dxa"/>
        </w:tcPr>
        <w:p w14:paraId="024D7D00" w14:textId="77777777" w:rsidR="733B038C" w:rsidRDefault="733B038C" w:rsidP="733B038C">
          <w:pPr>
            <w:pStyle w:val="Header"/>
            <w:jc w:val="center"/>
          </w:pPr>
        </w:p>
      </w:tc>
      <w:tc>
        <w:tcPr>
          <w:tcW w:w="3120" w:type="dxa"/>
        </w:tcPr>
        <w:p w14:paraId="71C1077E" w14:textId="77777777" w:rsidR="733B038C" w:rsidRDefault="733B038C" w:rsidP="733B038C">
          <w:pPr>
            <w:pStyle w:val="Header"/>
            <w:ind w:right="-115"/>
            <w:jc w:val="right"/>
          </w:pPr>
        </w:p>
      </w:tc>
    </w:tr>
  </w:tbl>
  <w:p w14:paraId="59D536A6" w14:textId="5578F8A8" w:rsidR="009A2164" w:rsidRPr="009A2164" w:rsidRDefault="009A2164" w:rsidP="009A2164">
    <w:pPr>
      <w:pStyle w:val="Footer"/>
      <w:rPr>
        <w:rFonts w:asciiTheme="majorBidi" w:hAnsiTheme="majorBid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31E6BFE3" w14:textId="77777777" w:rsidTr="733B038C">
      <w:tc>
        <w:tcPr>
          <w:tcW w:w="3120" w:type="dxa"/>
        </w:tcPr>
        <w:p w14:paraId="60EAE6E3" w14:textId="77777777" w:rsidR="733B038C" w:rsidRDefault="733B038C" w:rsidP="733B038C">
          <w:pPr>
            <w:pStyle w:val="Header"/>
            <w:ind w:left="-115"/>
          </w:pPr>
        </w:p>
      </w:tc>
      <w:tc>
        <w:tcPr>
          <w:tcW w:w="3120" w:type="dxa"/>
        </w:tcPr>
        <w:p w14:paraId="2EA87093" w14:textId="77777777" w:rsidR="733B038C" w:rsidRDefault="733B038C" w:rsidP="733B038C">
          <w:pPr>
            <w:pStyle w:val="Header"/>
            <w:jc w:val="center"/>
          </w:pPr>
        </w:p>
      </w:tc>
      <w:tc>
        <w:tcPr>
          <w:tcW w:w="3120" w:type="dxa"/>
        </w:tcPr>
        <w:p w14:paraId="0EF396A4" w14:textId="77777777" w:rsidR="733B038C" w:rsidRDefault="733B038C" w:rsidP="733B038C">
          <w:pPr>
            <w:pStyle w:val="Header"/>
            <w:ind w:right="-115"/>
            <w:jc w:val="right"/>
          </w:pPr>
        </w:p>
      </w:tc>
    </w:tr>
  </w:tbl>
  <w:p w14:paraId="7C5C24A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C4A2B" w14:textId="77777777" w:rsidR="00100393" w:rsidRDefault="00100393">
      <w:pPr>
        <w:spacing w:line="240" w:lineRule="auto"/>
      </w:pPr>
      <w:r>
        <w:separator/>
      </w:r>
    </w:p>
  </w:footnote>
  <w:footnote w:type="continuationSeparator" w:id="0">
    <w:p w14:paraId="278730AD" w14:textId="77777777" w:rsidR="00100393" w:rsidRDefault="00100393">
      <w:pPr>
        <w:spacing w:line="240" w:lineRule="auto"/>
      </w:pPr>
      <w:r>
        <w:continuationSeparator/>
      </w:r>
    </w:p>
  </w:footnote>
  <w:footnote w:type="continuationNotice" w:id="1">
    <w:p w14:paraId="5BBB0EB8" w14:textId="77777777" w:rsidR="00100393" w:rsidRDefault="001003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56FE0C9C" w14:textId="77777777" w:rsidTr="008830C9">
      <w:tc>
        <w:tcPr>
          <w:tcW w:w="3120" w:type="dxa"/>
        </w:tcPr>
        <w:p w14:paraId="66F512A3" w14:textId="64D53D87" w:rsidR="00604652" w:rsidRDefault="00E51410" w:rsidP="00E51410">
          <w:pPr>
            <w:pStyle w:val="Header"/>
          </w:pPr>
          <w:r w:rsidRPr="00E51410">
            <w:t>COMMODITY IMPACT ON STOCK RETURNS</w:t>
          </w:r>
        </w:p>
      </w:tc>
      <w:tc>
        <w:tcPr>
          <w:tcW w:w="3120" w:type="dxa"/>
        </w:tcPr>
        <w:p w14:paraId="62D8E728" w14:textId="77777777" w:rsidR="00904DBE" w:rsidRDefault="00904DBE" w:rsidP="00904DBE">
          <w:pPr>
            <w:pStyle w:val="Header"/>
            <w:jc w:val="center"/>
          </w:pPr>
        </w:p>
      </w:tc>
      <w:tc>
        <w:tcPr>
          <w:tcW w:w="3120" w:type="dxa"/>
        </w:tcPr>
        <w:p w14:paraId="3628D19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B36ACB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12" w:type="dxa"/>
      <w:tblLayout w:type="fixed"/>
      <w:tblCellMar>
        <w:left w:w="0" w:type="dxa"/>
        <w:right w:w="0" w:type="dxa"/>
      </w:tblCellMar>
      <w:tblLook w:val="0600" w:firstRow="0" w:lastRow="0" w:firstColumn="0" w:lastColumn="0" w:noHBand="1" w:noVBand="1"/>
    </w:tblPr>
    <w:tblGrid>
      <w:gridCol w:w="3504"/>
      <w:gridCol w:w="3504"/>
      <w:gridCol w:w="3504"/>
    </w:tblGrid>
    <w:tr w:rsidR="733B038C" w14:paraId="0F748622" w14:textId="77777777" w:rsidTr="00E51410">
      <w:trPr>
        <w:trHeight w:val="693"/>
      </w:trPr>
      <w:tc>
        <w:tcPr>
          <w:tcW w:w="3504" w:type="dxa"/>
        </w:tcPr>
        <w:p w14:paraId="2428DA3E" w14:textId="77777777" w:rsidR="00E51410" w:rsidRDefault="00E51410" w:rsidP="00E51410">
          <w:pPr>
            <w:pStyle w:val="Header"/>
          </w:pPr>
          <w:r w:rsidRPr="00E51410">
            <w:t>COMMODITY IMPACT ON STOCK</w:t>
          </w:r>
          <w:r>
            <w:t xml:space="preserve"> </w:t>
          </w:r>
        </w:p>
        <w:p w14:paraId="5A7D7B4E" w14:textId="54D901DA" w:rsidR="733B038C" w:rsidRPr="00FD478C" w:rsidRDefault="00E51410" w:rsidP="00E51410">
          <w:pPr>
            <w:pStyle w:val="Header"/>
          </w:pPr>
          <w:r w:rsidRPr="00E51410">
            <w:t>RETURNS</w:t>
          </w:r>
        </w:p>
      </w:tc>
      <w:tc>
        <w:tcPr>
          <w:tcW w:w="3504" w:type="dxa"/>
        </w:tcPr>
        <w:p w14:paraId="1AF03A9A" w14:textId="77777777" w:rsidR="733B038C" w:rsidRDefault="733B038C" w:rsidP="733B038C">
          <w:pPr>
            <w:pStyle w:val="Header"/>
            <w:jc w:val="center"/>
          </w:pPr>
        </w:p>
      </w:tc>
      <w:tc>
        <w:tcPr>
          <w:tcW w:w="3504" w:type="dxa"/>
        </w:tcPr>
        <w:p w14:paraId="0D04E291" w14:textId="77777777" w:rsidR="733B038C" w:rsidRDefault="733B038C" w:rsidP="733B038C">
          <w:pPr>
            <w:pStyle w:val="Header"/>
            <w:ind w:right="-115"/>
            <w:jc w:val="right"/>
          </w:pPr>
        </w:p>
      </w:tc>
    </w:tr>
  </w:tbl>
  <w:p w14:paraId="044A7556"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E1DD9"/>
    <w:multiLevelType w:val="hybridMultilevel"/>
    <w:tmpl w:val="DDC693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4C097D"/>
    <w:multiLevelType w:val="multilevel"/>
    <w:tmpl w:val="878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B2A21"/>
    <w:multiLevelType w:val="multilevel"/>
    <w:tmpl w:val="E80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F7FC6"/>
    <w:multiLevelType w:val="multilevel"/>
    <w:tmpl w:val="48C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C03CD"/>
    <w:multiLevelType w:val="multilevel"/>
    <w:tmpl w:val="EF6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9540A"/>
    <w:multiLevelType w:val="hybridMultilevel"/>
    <w:tmpl w:val="959884B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468329547">
    <w:abstractNumId w:val="5"/>
  </w:num>
  <w:num w:numId="2" w16cid:durableId="966737326">
    <w:abstractNumId w:val="0"/>
  </w:num>
  <w:num w:numId="3" w16cid:durableId="1176075207">
    <w:abstractNumId w:val="3"/>
  </w:num>
  <w:num w:numId="4" w16cid:durableId="968704883">
    <w:abstractNumId w:val="4"/>
  </w:num>
  <w:num w:numId="5" w16cid:durableId="1581207294">
    <w:abstractNumId w:val="2"/>
  </w:num>
  <w:num w:numId="6" w16cid:durableId="1061902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D7"/>
    <w:rsid w:val="00034CD7"/>
    <w:rsid w:val="00076450"/>
    <w:rsid w:val="000A143B"/>
    <w:rsid w:val="000B65B4"/>
    <w:rsid w:val="00100393"/>
    <w:rsid w:val="00106A8C"/>
    <w:rsid w:val="00153DDB"/>
    <w:rsid w:val="001B3E3B"/>
    <w:rsid w:val="002C253D"/>
    <w:rsid w:val="002C3BE4"/>
    <w:rsid w:val="002F7E04"/>
    <w:rsid w:val="00312443"/>
    <w:rsid w:val="00333709"/>
    <w:rsid w:val="00343EDE"/>
    <w:rsid w:val="00350142"/>
    <w:rsid w:val="003543BD"/>
    <w:rsid w:val="00371BD9"/>
    <w:rsid w:val="0038173B"/>
    <w:rsid w:val="003D3F10"/>
    <w:rsid w:val="003D7831"/>
    <w:rsid w:val="003E3731"/>
    <w:rsid w:val="003F24DF"/>
    <w:rsid w:val="0042207D"/>
    <w:rsid w:val="004C683E"/>
    <w:rsid w:val="004D7764"/>
    <w:rsid w:val="004E516E"/>
    <w:rsid w:val="00500997"/>
    <w:rsid w:val="00530EF3"/>
    <w:rsid w:val="0055683F"/>
    <w:rsid w:val="005936DA"/>
    <w:rsid w:val="005B2DB9"/>
    <w:rsid w:val="005C3237"/>
    <w:rsid w:val="00604652"/>
    <w:rsid w:val="006C101C"/>
    <w:rsid w:val="006C37EA"/>
    <w:rsid w:val="006E51FB"/>
    <w:rsid w:val="006F2CC0"/>
    <w:rsid w:val="006F4709"/>
    <w:rsid w:val="00702B81"/>
    <w:rsid w:val="0072711F"/>
    <w:rsid w:val="00727711"/>
    <w:rsid w:val="00741844"/>
    <w:rsid w:val="0074264E"/>
    <w:rsid w:val="00752F01"/>
    <w:rsid w:val="00770E6B"/>
    <w:rsid w:val="00796468"/>
    <w:rsid w:val="007D4A2B"/>
    <w:rsid w:val="007E2D6A"/>
    <w:rsid w:val="007E79AD"/>
    <w:rsid w:val="008078FA"/>
    <w:rsid w:val="00823731"/>
    <w:rsid w:val="00844858"/>
    <w:rsid w:val="00871018"/>
    <w:rsid w:val="00904DBE"/>
    <w:rsid w:val="00930BE8"/>
    <w:rsid w:val="009349FC"/>
    <w:rsid w:val="009625AD"/>
    <w:rsid w:val="009961E5"/>
    <w:rsid w:val="009A0C12"/>
    <w:rsid w:val="009A2164"/>
    <w:rsid w:val="00A75901"/>
    <w:rsid w:val="00AC3F44"/>
    <w:rsid w:val="00AF24BC"/>
    <w:rsid w:val="00B5233A"/>
    <w:rsid w:val="00B7206E"/>
    <w:rsid w:val="00B73637"/>
    <w:rsid w:val="00B841E6"/>
    <w:rsid w:val="00BA6612"/>
    <w:rsid w:val="00BC6C8F"/>
    <w:rsid w:val="00C22663"/>
    <w:rsid w:val="00C26C30"/>
    <w:rsid w:val="00C93DBC"/>
    <w:rsid w:val="00CA1E31"/>
    <w:rsid w:val="00CA75C2"/>
    <w:rsid w:val="00CD7F50"/>
    <w:rsid w:val="00DA395D"/>
    <w:rsid w:val="00DD10E8"/>
    <w:rsid w:val="00DF1ADF"/>
    <w:rsid w:val="00DF3215"/>
    <w:rsid w:val="00E078FD"/>
    <w:rsid w:val="00E23707"/>
    <w:rsid w:val="00E51410"/>
    <w:rsid w:val="00E800D4"/>
    <w:rsid w:val="00E879E7"/>
    <w:rsid w:val="00EA71B6"/>
    <w:rsid w:val="00EF2F8A"/>
    <w:rsid w:val="00F43ACD"/>
    <w:rsid w:val="00F80380"/>
    <w:rsid w:val="00F84661"/>
    <w:rsid w:val="00F919E6"/>
    <w:rsid w:val="00F941E8"/>
    <w:rsid w:val="00FA2008"/>
    <w:rsid w:val="00FA4C9E"/>
    <w:rsid w:val="00FB2A29"/>
    <w:rsid w:val="00FD478C"/>
    <w:rsid w:val="00FF0023"/>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D824C"/>
  <w15:chartTrackingRefBased/>
  <w15:docId w15:val="{EBA6DDA5-4C2A-48CA-8A1A-4CA2A62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C0"/>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B65B4"/>
    <w:pPr>
      <w:ind w:left="720"/>
      <w:contextualSpacing/>
    </w:pPr>
  </w:style>
  <w:style w:type="character" w:styleId="UnresolvedMention">
    <w:name w:val="Unresolved Mention"/>
    <w:basedOn w:val="DefaultParagraphFont"/>
    <w:uiPriority w:val="99"/>
    <w:semiHidden/>
    <w:unhideWhenUsed/>
    <w:rsid w:val="00770E6B"/>
    <w:rPr>
      <w:color w:val="605E5C"/>
      <w:shd w:val="clear" w:color="auto" w:fill="E1DFDD"/>
    </w:rPr>
  </w:style>
  <w:style w:type="character" w:customStyle="1" w:styleId="mord">
    <w:name w:val="mord"/>
    <w:basedOn w:val="DefaultParagraphFont"/>
    <w:rsid w:val="00770E6B"/>
  </w:style>
  <w:style w:type="character" w:customStyle="1" w:styleId="vlist-s">
    <w:name w:val="vlist-s"/>
    <w:basedOn w:val="DefaultParagraphFont"/>
    <w:rsid w:val="00770E6B"/>
  </w:style>
  <w:style w:type="character" w:customStyle="1" w:styleId="mbin">
    <w:name w:val="mbin"/>
    <w:basedOn w:val="DefaultParagraphFont"/>
    <w:rsid w:val="00770E6B"/>
  </w:style>
  <w:style w:type="table" w:styleId="PlainTable5">
    <w:name w:val="Plain Table 5"/>
    <w:basedOn w:val="TableNormal"/>
    <w:uiPriority w:val="45"/>
    <w:rsid w:val="009349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FB2A29"/>
    <w:pPr>
      <w:ind w:firstLine="0"/>
    </w:pPr>
    <w:rPr>
      <w:rFonts w:cstheme="minorHAnsi"/>
      <w:i/>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8466">
      <w:bodyDiv w:val="1"/>
      <w:marLeft w:val="0"/>
      <w:marRight w:val="0"/>
      <w:marTop w:val="0"/>
      <w:marBottom w:val="0"/>
      <w:divBdr>
        <w:top w:val="none" w:sz="0" w:space="0" w:color="auto"/>
        <w:left w:val="none" w:sz="0" w:space="0" w:color="auto"/>
        <w:bottom w:val="none" w:sz="0" w:space="0" w:color="auto"/>
        <w:right w:val="none" w:sz="0" w:space="0" w:color="auto"/>
      </w:divBdr>
      <w:divsChild>
        <w:div w:id="1934121930">
          <w:marLeft w:val="0"/>
          <w:marRight w:val="0"/>
          <w:marTop w:val="0"/>
          <w:marBottom w:val="0"/>
          <w:divBdr>
            <w:top w:val="none" w:sz="0" w:space="0" w:color="auto"/>
            <w:left w:val="none" w:sz="0" w:space="0" w:color="auto"/>
            <w:bottom w:val="none" w:sz="0" w:space="0" w:color="auto"/>
            <w:right w:val="none" w:sz="0" w:space="0" w:color="auto"/>
          </w:divBdr>
          <w:divsChild>
            <w:div w:id="1188526802">
              <w:marLeft w:val="0"/>
              <w:marRight w:val="0"/>
              <w:marTop w:val="0"/>
              <w:marBottom w:val="0"/>
              <w:divBdr>
                <w:top w:val="none" w:sz="0" w:space="0" w:color="auto"/>
                <w:left w:val="none" w:sz="0" w:space="0" w:color="auto"/>
                <w:bottom w:val="none" w:sz="0" w:space="0" w:color="auto"/>
                <w:right w:val="none" w:sz="0" w:space="0" w:color="auto"/>
              </w:divBdr>
            </w:div>
            <w:div w:id="2146047978">
              <w:marLeft w:val="0"/>
              <w:marRight w:val="0"/>
              <w:marTop w:val="0"/>
              <w:marBottom w:val="0"/>
              <w:divBdr>
                <w:top w:val="none" w:sz="0" w:space="0" w:color="auto"/>
                <w:left w:val="none" w:sz="0" w:space="0" w:color="auto"/>
                <w:bottom w:val="none" w:sz="0" w:space="0" w:color="auto"/>
                <w:right w:val="none" w:sz="0" w:space="0" w:color="auto"/>
              </w:divBdr>
            </w:div>
            <w:div w:id="2079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623">
      <w:bodyDiv w:val="1"/>
      <w:marLeft w:val="0"/>
      <w:marRight w:val="0"/>
      <w:marTop w:val="0"/>
      <w:marBottom w:val="0"/>
      <w:divBdr>
        <w:top w:val="none" w:sz="0" w:space="0" w:color="auto"/>
        <w:left w:val="none" w:sz="0" w:space="0" w:color="auto"/>
        <w:bottom w:val="none" w:sz="0" w:space="0" w:color="auto"/>
        <w:right w:val="none" w:sz="0" w:space="0" w:color="auto"/>
      </w:divBdr>
      <w:divsChild>
        <w:div w:id="777339285">
          <w:marLeft w:val="0"/>
          <w:marRight w:val="0"/>
          <w:marTop w:val="0"/>
          <w:marBottom w:val="0"/>
          <w:divBdr>
            <w:top w:val="none" w:sz="0" w:space="0" w:color="auto"/>
            <w:left w:val="none" w:sz="0" w:space="0" w:color="auto"/>
            <w:bottom w:val="none" w:sz="0" w:space="0" w:color="auto"/>
            <w:right w:val="none" w:sz="0" w:space="0" w:color="auto"/>
          </w:divBdr>
          <w:divsChild>
            <w:div w:id="2003200035">
              <w:marLeft w:val="0"/>
              <w:marRight w:val="0"/>
              <w:marTop w:val="0"/>
              <w:marBottom w:val="0"/>
              <w:divBdr>
                <w:top w:val="none" w:sz="0" w:space="0" w:color="auto"/>
                <w:left w:val="none" w:sz="0" w:space="0" w:color="auto"/>
                <w:bottom w:val="none" w:sz="0" w:space="0" w:color="auto"/>
                <w:right w:val="none" w:sz="0" w:space="0" w:color="auto"/>
              </w:divBdr>
            </w:div>
            <w:div w:id="634023217">
              <w:marLeft w:val="0"/>
              <w:marRight w:val="0"/>
              <w:marTop w:val="0"/>
              <w:marBottom w:val="0"/>
              <w:divBdr>
                <w:top w:val="none" w:sz="0" w:space="0" w:color="auto"/>
                <w:left w:val="none" w:sz="0" w:space="0" w:color="auto"/>
                <w:bottom w:val="none" w:sz="0" w:space="0" w:color="auto"/>
                <w:right w:val="none" w:sz="0" w:space="0" w:color="auto"/>
              </w:divBdr>
            </w:div>
            <w:div w:id="577784117">
              <w:marLeft w:val="0"/>
              <w:marRight w:val="0"/>
              <w:marTop w:val="0"/>
              <w:marBottom w:val="0"/>
              <w:divBdr>
                <w:top w:val="none" w:sz="0" w:space="0" w:color="auto"/>
                <w:left w:val="none" w:sz="0" w:space="0" w:color="auto"/>
                <w:bottom w:val="none" w:sz="0" w:space="0" w:color="auto"/>
                <w:right w:val="none" w:sz="0" w:space="0" w:color="auto"/>
              </w:divBdr>
            </w:div>
            <w:div w:id="3818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8453">
      <w:bodyDiv w:val="1"/>
      <w:marLeft w:val="0"/>
      <w:marRight w:val="0"/>
      <w:marTop w:val="0"/>
      <w:marBottom w:val="0"/>
      <w:divBdr>
        <w:top w:val="none" w:sz="0" w:space="0" w:color="auto"/>
        <w:left w:val="none" w:sz="0" w:space="0" w:color="auto"/>
        <w:bottom w:val="none" w:sz="0" w:space="0" w:color="auto"/>
        <w:right w:val="none" w:sz="0" w:space="0" w:color="auto"/>
      </w:divBdr>
      <w:divsChild>
        <w:div w:id="1219710952">
          <w:marLeft w:val="0"/>
          <w:marRight w:val="0"/>
          <w:marTop w:val="0"/>
          <w:marBottom w:val="0"/>
          <w:divBdr>
            <w:top w:val="none" w:sz="0" w:space="0" w:color="auto"/>
            <w:left w:val="none" w:sz="0" w:space="0" w:color="auto"/>
            <w:bottom w:val="none" w:sz="0" w:space="0" w:color="auto"/>
            <w:right w:val="none" w:sz="0" w:space="0" w:color="auto"/>
          </w:divBdr>
          <w:divsChild>
            <w:div w:id="226109097">
              <w:marLeft w:val="0"/>
              <w:marRight w:val="0"/>
              <w:marTop w:val="0"/>
              <w:marBottom w:val="0"/>
              <w:divBdr>
                <w:top w:val="none" w:sz="0" w:space="0" w:color="auto"/>
                <w:left w:val="none" w:sz="0" w:space="0" w:color="auto"/>
                <w:bottom w:val="none" w:sz="0" w:space="0" w:color="auto"/>
                <w:right w:val="none" w:sz="0" w:space="0" w:color="auto"/>
              </w:divBdr>
            </w:div>
            <w:div w:id="654143974">
              <w:marLeft w:val="0"/>
              <w:marRight w:val="0"/>
              <w:marTop w:val="0"/>
              <w:marBottom w:val="0"/>
              <w:divBdr>
                <w:top w:val="none" w:sz="0" w:space="0" w:color="auto"/>
                <w:left w:val="none" w:sz="0" w:space="0" w:color="auto"/>
                <w:bottom w:val="none" w:sz="0" w:space="0" w:color="auto"/>
                <w:right w:val="none" w:sz="0" w:space="0" w:color="auto"/>
              </w:divBdr>
            </w:div>
            <w:div w:id="683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0462">
      <w:bodyDiv w:val="1"/>
      <w:marLeft w:val="0"/>
      <w:marRight w:val="0"/>
      <w:marTop w:val="0"/>
      <w:marBottom w:val="0"/>
      <w:divBdr>
        <w:top w:val="none" w:sz="0" w:space="0" w:color="auto"/>
        <w:left w:val="none" w:sz="0" w:space="0" w:color="auto"/>
        <w:bottom w:val="none" w:sz="0" w:space="0" w:color="auto"/>
        <w:right w:val="none" w:sz="0" w:space="0" w:color="auto"/>
      </w:divBdr>
    </w:div>
    <w:div w:id="271909215">
      <w:bodyDiv w:val="1"/>
      <w:marLeft w:val="0"/>
      <w:marRight w:val="0"/>
      <w:marTop w:val="0"/>
      <w:marBottom w:val="0"/>
      <w:divBdr>
        <w:top w:val="none" w:sz="0" w:space="0" w:color="auto"/>
        <w:left w:val="none" w:sz="0" w:space="0" w:color="auto"/>
        <w:bottom w:val="none" w:sz="0" w:space="0" w:color="auto"/>
        <w:right w:val="none" w:sz="0" w:space="0" w:color="auto"/>
      </w:divBdr>
      <w:divsChild>
        <w:div w:id="313265443">
          <w:marLeft w:val="0"/>
          <w:marRight w:val="0"/>
          <w:marTop w:val="0"/>
          <w:marBottom w:val="0"/>
          <w:divBdr>
            <w:top w:val="none" w:sz="0" w:space="0" w:color="auto"/>
            <w:left w:val="none" w:sz="0" w:space="0" w:color="auto"/>
            <w:bottom w:val="none" w:sz="0" w:space="0" w:color="auto"/>
            <w:right w:val="none" w:sz="0" w:space="0" w:color="auto"/>
          </w:divBdr>
          <w:divsChild>
            <w:div w:id="74785461">
              <w:marLeft w:val="0"/>
              <w:marRight w:val="0"/>
              <w:marTop w:val="0"/>
              <w:marBottom w:val="0"/>
              <w:divBdr>
                <w:top w:val="none" w:sz="0" w:space="0" w:color="auto"/>
                <w:left w:val="none" w:sz="0" w:space="0" w:color="auto"/>
                <w:bottom w:val="none" w:sz="0" w:space="0" w:color="auto"/>
                <w:right w:val="none" w:sz="0" w:space="0" w:color="auto"/>
              </w:divBdr>
            </w:div>
            <w:div w:id="23988193">
              <w:marLeft w:val="0"/>
              <w:marRight w:val="0"/>
              <w:marTop w:val="0"/>
              <w:marBottom w:val="0"/>
              <w:divBdr>
                <w:top w:val="none" w:sz="0" w:space="0" w:color="auto"/>
                <w:left w:val="none" w:sz="0" w:space="0" w:color="auto"/>
                <w:bottom w:val="none" w:sz="0" w:space="0" w:color="auto"/>
                <w:right w:val="none" w:sz="0" w:space="0" w:color="auto"/>
              </w:divBdr>
            </w:div>
            <w:div w:id="1593246717">
              <w:marLeft w:val="0"/>
              <w:marRight w:val="0"/>
              <w:marTop w:val="0"/>
              <w:marBottom w:val="0"/>
              <w:divBdr>
                <w:top w:val="none" w:sz="0" w:space="0" w:color="auto"/>
                <w:left w:val="none" w:sz="0" w:space="0" w:color="auto"/>
                <w:bottom w:val="none" w:sz="0" w:space="0" w:color="auto"/>
                <w:right w:val="none" w:sz="0" w:space="0" w:color="auto"/>
              </w:divBdr>
            </w:div>
            <w:div w:id="922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5364">
      <w:bodyDiv w:val="1"/>
      <w:marLeft w:val="0"/>
      <w:marRight w:val="0"/>
      <w:marTop w:val="0"/>
      <w:marBottom w:val="0"/>
      <w:divBdr>
        <w:top w:val="none" w:sz="0" w:space="0" w:color="auto"/>
        <w:left w:val="none" w:sz="0" w:space="0" w:color="auto"/>
        <w:bottom w:val="none" w:sz="0" w:space="0" w:color="auto"/>
        <w:right w:val="none" w:sz="0" w:space="0" w:color="auto"/>
      </w:divBdr>
      <w:divsChild>
        <w:div w:id="1112750371">
          <w:marLeft w:val="0"/>
          <w:marRight w:val="0"/>
          <w:marTop w:val="0"/>
          <w:marBottom w:val="0"/>
          <w:divBdr>
            <w:top w:val="none" w:sz="0" w:space="0" w:color="auto"/>
            <w:left w:val="none" w:sz="0" w:space="0" w:color="auto"/>
            <w:bottom w:val="none" w:sz="0" w:space="0" w:color="auto"/>
            <w:right w:val="none" w:sz="0" w:space="0" w:color="auto"/>
          </w:divBdr>
          <w:divsChild>
            <w:div w:id="893657124">
              <w:marLeft w:val="0"/>
              <w:marRight w:val="0"/>
              <w:marTop w:val="0"/>
              <w:marBottom w:val="0"/>
              <w:divBdr>
                <w:top w:val="none" w:sz="0" w:space="0" w:color="auto"/>
                <w:left w:val="none" w:sz="0" w:space="0" w:color="auto"/>
                <w:bottom w:val="none" w:sz="0" w:space="0" w:color="auto"/>
                <w:right w:val="none" w:sz="0" w:space="0" w:color="auto"/>
              </w:divBdr>
            </w:div>
            <w:div w:id="175079410">
              <w:marLeft w:val="0"/>
              <w:marRight w:val="0"/>
              <w:marTop w:val="0"/>
              <w:marBottom w:val="0"/>
              <w:divBdr>
                <w:top w:val="none" w:sz="0" w:space="0" w:color="auto"/>
                <w:left w:val="none" w:sz="0" w:space="0" w:color="auto"/>
                <w:bottom w:val="none" w:sz="0" w:space="0" w:color="auto"/>
                <w:right w:val="none" w:sz="0" w:space="0" w:color="auto"/>
              </w:divBdr>
            </w:div>
            <w:div w:id="564148012">
              <w:marLeft w:val="0"/>
              <w:marRight w:val="0"/>
              <w:marTop w:val="0"/>
              <w:marBottom w:val="0"/>
              <w:divBdr>
                <w:top w:val="none" w:sz="0" w:space="0" w:color="auto"/>
                <w:left w:val="none" w:sz="0" w:space="0" w:color="auto"/>
                <w:bottom w:val="none" w:sz="0" w:space="0" w:color="auto"/>
                <w:right w:val="none" w:sz="0" w:space="0" w:color="auto"/>
              </w:divBdr>
            </w:div>
            <w:div w:id="7766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4746">
      <w:bodyDiv w:val="1"/>
      <w:marLeft w:val="0"/>
      <w:marRight w:val="0"/>
      <w:marTop w:val="0"/>
      <w:marBottom w:val="0"/>
      <w:divBdr>
        <w:top w:val="none" w:sz="0" w:space="0" w:color="auto"/>
        <w:left w:val="none" w:sz="0" w:space="0" w:color="auto"/>
        <w:bottom w:val="none" w:sz="0" w:space="0" w:color="auto"/>
        <w:right w:val="none" w:sz="0" w:space="0" w:color="auto"/>
      </w:divBdr>
      <w:divsChild>
        <w:div w:id="680543804">
          <w:marLeft w:val="0"/>
          <w:marRight w:val="0"/>
          <w:marTop w:val="0"/>
          <w:marBottom w:val="0"/>
          <w:divBdr>
            <w:top w:val="none" w:sz="0" w:space="0" w:color="auto"/>
            <w:left w:val="none" w:sz="0" w:space="0" w:color="auto"/>
            <w:bottom w:val="none" w:sz="0" w:space="0" w:color="auto"/>
            <w:right w:val="none" w:sz="0" w:space="0" w:color="auto"/>
          </w:divBdr>
          <w:divsChild>
            <w:div w:id="3522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654">
      <w:bodyDiv w:val="1"/>
      <w:marLeft w:val="0"/>
      <w:marRight w:val="0"/>
      <w:marTop w:val="0"/>
      <w:marBottom w:val="0"/>
      <w:divBdr>
        <w:top w:val="none" w:sz="0" w:space="0" w:color="auto"/>
        <w:left w:val="none" w:sz="0" w:space="0" w:color="auto"/>
        <w:bottom w:val="none" w:sz="0" w:space="0" w:color="auto"/>
        <w:right w:val="none" w:sz="0" w:space="0" w:color="auto"/>
      </w:divBdr>
      <w:divsChild>
        <w:div w:id="527648273">
          <w:marLeft w:val="0"/>
          <w:marRight w:val="0"/>
          <w:marTop w:val="0"/>
          <w:marBottom w:val="0"/>
          <w:divBdr>
            <w:top w:val="none" w:sz="0" w:space="0" w:color="auto"/>
            <w:left w:val="none" w:sz="0" w:space="0" w:color="auto"/>
            <w:bottom w:val="none" w:sz="0" w:space="0" w:color="auto"/>
            <w:right w:val="none" w:sz="0" w:space="0" w:color="auto"/>
          </w:divBdr>
          <w:divsChild>
            <w:div w:id="20749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3194">
      <w:bodyDiv w:val="1"/>
      <w:marLeft w:val="0"/>
      <w:marRight w:val="0"/>
      <w:marTop w:val="0"/>
      <w:marBottom w:val="0"/>
      <w:divBdr>
        <w:top w:val="none" w:sz="0" w:space="0" w:color="auto"/>
        <w:left w:val="none" w:sz="0" w:space="0" w:color="auto"/>
        <w:bottom w:val="none" w:sz="0" w:space="0" w:color="auto"/>
        <w:right w:val="none" w:sz="0" w:space="0" w:color="auto"/>
      </w:divBdr>
      <w:divsChild>
        <w:div w:id="319621648">
          <w:marLeft w:val="0"/>
          <w:marRight w:val="0"/>
          <w:marTop w:val="0"/>
          <w:marBottom w:val="0"/>
          <w:divBdr>
            <w:top w:val="none" w:sz="0" w:space="0" w:color="auto"/>
            <w:left w:val="none" w:sz="0" w:space="0" w:color="auto"/>
            <w:bottom w:val="none" w:sz="0" w:space="0" w:color="auto"/>
            <w:right w:val="none" w:sz="0" w:space="0" w:color="auto"/>
          </w:divBdr>
          <w:divsChild>
            <w:div w:id="10741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496">
      <w:bodyDiv w:val="1"/>
      <w:marLeft w:val="0"/>
      <w:marRight w:val="0"/>
      <w:marTop w:val="0"/>
      <w:marBottom w:val="0"/>
      <w:divBdr>
        <w:top w:val="none" w:sz="0" w:space="0" w:color="auto"/>
        <w:left w:val="none" w:sz="0" w:space="0" w:color="auto"/>
        <w:bottom w:val="none" w:sz="0" w:space="0" w:color="auto"/>
        <w:right w:val="none" w:sz="0" w:space="0" w:color="auto"/>
      </w:divBdr>
      <w:divsChild>
        <w:div w:id="1044644605">
          <w:marLeft w:val="0"/>
          <w:marRight w:val="0"/>
          <w:marTop w:val="0"/>
          <w:marBottom w:val="0"/>
          <w:divBdr>
            <w:top w:val="none" w:sz="0" w:space="0" w:color="auto"/>
            <w:left w:val="none" w:sz="0" w:space="0" w:color="auto"/>
            <w:bottom w:val="none" w:sz="0" w:space="0" w:color="auto"/>
            <w:right w:val="none" w:sz="0" w:space="0" w:color="auto"/>
          </w:divBdr>
          <w:divsChild>
            <w:div w:id="787891301">
              <w:marLeft w:val="0"/>
              <w:marRight w:val="0"/>
              <w:marTop w:val="0"/>
              <w:marBottom w:val="0"/>
              <w:divBdr>
                <w:top w:val="none" w:sz="0" w:space="0" w:color="auto"/>
                <w:left w:val="none" w:sz="0" w:space="0" w:color="auto"/>
                <w:bottom w:val="none" w:sz="0" w:space="0" w:color="auto"/>
                <w:right w:val="none" w:sz="0" w:space="0" w:color="auto"/>
              </w:divBdr>
            </w:div>
            <w:div w:id="1906911285">
              <w:marLeft w:val="0"/>
              <w:marRight w:val="0"/>
              <w:marTop w:val="0"/>
              <w:marBottom w:val="0"/>
              <w:divBdr>
                <w:top w:val="none" w:sz="0" w:space="0" w:color="auto"/>
                <w:left w:val="none" w:sz="0" w:space="0" w:color="auto"/>
                <w:bottom w:val="none" w:sz="0" w:space="0" w:color="auto"/>
                <w:right w:val="none" w:sz="0" w:space="0" w:color="auto"/>
              </w:divBdr>
            </w:div>
            <w:div w:id="2146964033">
              <w:marLeft w:val="0"/>
              <w:marRight w:val="0"/>
              <w:marTop w:val="0"/>
              <w:marBottom w:val="0"/>
              <w:divBdr>
                <w:top w:val="none" w:sz="0" w:space="0" w:color="auto"/>
                <w:left w:val="none" w:sz="0" w:space="0" w:color="auto"/>
                <w:bottom w:val="none" w:sz="0" w:space="0" w:color="auto"/>
                <w:right w:val="none" w:sz="0" w:space="0" w:color="auto"/>
              </w:divBdr>
            </w:div>
            <w:div w:id="1333487552">
              <w:marLeft w:val="0"/>
              <w:marRight w:val="0"/>
              <w:marTop w:val="0"/>
              <w:marBottom w:val="0"/>
              <w:divBdr>
                <w:top w:val="none" w:sz="0" w:space="0" w:color="auto"/>
                <w:left w:val="none" w:sz="0" w:space="0" w:color="auto"/>
                <w:bottom w:val="none" w:sz="0" w:space="0" w:color="auto"/>
                <w:right w:val="none" w:sz="0" w:space="0" w:color="auto"/>
              </w:divBdr>
            </w:div>
            <w:div w:id="1297762963">
              <w:marLeft w:val="0"/>
              <w:marRight w:val="0"/>
              <w:marTop w:val="0"/>
              <w:marBottom w:val="0"/>
              <w:divBdr>
                <w:top w:val="none" w:sz="0" w:space="0" w:color="auto"/>
                <w:left w:val="none" w:sz="0" w:space="0" w:color="auto"/>
                <w:bottom w:val="none" w:sz="0" w:space="0" w:color="auto"/>
                <w:right w:val="none" w:sz="0" w:space="0" w:color="auto"/>
              </w:divBdr>
            </w:div>
            <w:div w:id="422841098">
              <w:marLeft w:val="0"/>
              <w:marRight w:val="0"/>
              <w:marTop w:val="0"/>
              <w:marBottom w:val="0"/>
              <w:divBdr>
                <w:top w:val="none" w:sz="0" w:space="0" w:color="auto"/>
                <w:left w:val="none" w:sz="0" w:space="0" w:color="auto"/>
                <w:bottom w:val="none" w:sz="0" w:space="0" w:color="auto"/>
                <w:right w:val="none" w:sz="0" w:space="0" w:color="auto"/>
              </w:divBdr>
            </w:div>
            <w:div w:id="3674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4">
      <w:bodyDiv w:val="1"/>
      <w:marLeft w:val="0"/>
      <w:marRight w:val="0"/>
      <w:marTop w:val="0"/>
      <w:marBottom w:val="0"/>
      <w:divBdr>
        <w:top w:val="none" w:sz="0" w:space="0" w:color="auto"/>
        <w:left w:val="none" w:sz="0" w:space="0" w:color="auto"/>
        <w:bottom w:val="none" w:sz="0" w:space="0" w:color="auto"/>
        <w:right w:val="none" w:sz="0" w:space="0" w:color="auto"/>
      </w:divBdr>
    </w:div>
    <w:div w:id="623735020">
      <w:bodyDiv w:val="1"/>
      <w:marLeft w:val="0"/>
      <w:marRight w:val="0"/>
      <w:marTop w:val="0"/>
      <w:marBottom w:val="0"/>
      <w:divBdr>
        <w:top w:val="none" w:sz="0" w:space="0" w:color="auto"/>
        <w:left w:val="none" w:sz="0" w:space="0" w:color="auto"/>
        <w:bottom w:val="none" w:sz="0" w:space="0" w:color="auto"/>
        <w:right w:val="none" w:sz="0" w:space="0" w:color="auto"/>
      </w:divBdr>
    </w:div>
    <w:div w:id="728191165">
      <w:bodyDiv w:val="1"/>
      <w:marLeft w:val="0"/>
      <w:marRight w:val="0"/>
      <w:marTop w:val="0"/>
      <w:marBottom w:val="0"/>
      <w:divBdr>
        <w:top w:val="none" w:sz="0" w:space="0" w:color="auto"/>
        <w:left w:val="none" w:sz="0" w:space="0" w:color="auto"/>
        <w:bottom w:val="none" w:sz="0" w:space="0" w:color="auto"/>
        <w:right w:val="none" w:sz="0" w:space="0" w:color="auto"/>
      </w:divBdr>
      <w:divsChild>
        <w:div w:id="340592171">
          <w:marLeft w:val="0"/>
          <w:marRight w:val="0"/>
          <w:marTop w:val="0"/>
          <w:marBottom w:val="0"/>
          <w:divBdr>
            <w:top w:val="none" w:sz="0" w:space="0" w:color="auto"/>
            <w:left w:val="none" w:sz="0" w:space="0" w:color="auto"/>
            <w:bottom w:val="none" w:sz="0" w:space="0" w:color="auto"/>
            <w:right w:val="none" w:sz="0" w:space="0" w:color="auto"/>
          </w:divBdr>
          <w:divsChild>
            <w:div w:id="5052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0198">
      <w:bodyDiv w:val="1"/>
      <w:marLeft w:val="0"/>
      <w:marRight w:val="0"/>
      <w:marTop w:val="0"/>
      <w:marBottom w:val="0"/>
      <w:divBdr>
        <w:top w:val="none" w:sz="0" w:space="0" w:color="auto"/>
        <w:left w:val="none" w:sz="0" w:space="0" w:color="auto"/>
        <w:bottom w:val="none" w:sz="0" w:space="0" w:color="auto"/>
        <w:right w:val="none" w:sz="0" w:space="0" w:color="auto"/>
      </w:divBdr>
      <w:divsChild>
        <w:div w:id="1130242328">
          <w:marLeft w:val="0"/>
          <w:marRight w:val="0"/>
          <w:marTop w:val="0"/>
          <w:marBottom w:val="0"/>
          <w:divBdr>
            <w:top w:val="none" w:sz="0" w:space="0" w:color="auto"/>
            <w:left w:val="none" w:sz="0" w:space="0" w:color="auto"/>
            <w:bottom w:val="none" w:sz="0" w:space="0" w:color="auto"/>
            <w:right w:val="none" w:sz="0" w:space="0" w:color="auto"/>
          </w:divBdr>
          <w:divsChild>
            <w:div w:id="2618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726">
      <w:bodyDiv w:val="1"/>
      <w:marLeft w:val="0"/>
      <w:marRight w:val="0"/>
      <w:marTop w:val="0"/>
      <w:marBottom w:val="0"/>
      <w:divBdr>
        <w:top w:val="none" w:sz="0" w:space="0" w:color="auto"/>
        <w:left w:val="none" w:sz="0" w:space="0" w:color="auto"/>
        <w:bottom w:val="none" w:sz="0" w:space="0" w:color="auto"/>
        <w:right w:val="none" w:sz="0" w:space="0" w:color="auto"/>
      </w:divBdr>
      <w:divsChild>
        <w:div w:id="168105583">
          <w:marLeft w:val="0"/>
          <w:marRight w:val="0"/>
          <w:marTop w:val="0"/>
          <w:marBottom w:val="0"/>
          <w:divBdr>
            <w:top w:val="none" w:sz="0" w:space="0" w:color="auto"/>
            <w:left w:val="none" w:sz="0" w:space="0" w:color="auto"/>
            <w:bottom w:val="none" w:sz="0" w:space="0" w:color="auto"/>
            <w:right w:val="none" w:sz="0" w:space="0" w:color="auto"/>
          </w:divBdr>
          <w:divsChild>
            <w:div w:id="17651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6977">
      <w:bodyDiv w:val="1"/>
      <w:marLeft w:val="0"/>
      <w:marRight w:val="0"/>
      <w:marTop w:val="0"/>
      <w:marBottom w:val="0"/>
      <w:divBdr>
        <w:top w:val="none" w:sz="0" w:space="0" w:color="auto"/>
        <w:left w:val="none" w:sz="0" w:space="0" w:color="auto"/>
        <w:bottom w:val="none" w:sz="0" w:space="0" w:color="auto"/>
        <w:right w:val="none" w:sz="0" w:space="0" w:color="auto"/>
      </w:divBdr>
      <w:divsChild>
        <w:div w:id="1850365019">
          <w:marLeft w:val="0"/>
          <w:marRight w:val="0"/>
          <w:marTop w:val="0"/>
          <w:marBottom w:val="0"/>
          <w:divBdr>
            <w:top w:val="none" w:sz="0" w:space="0" w:color="auto"/>
            <w:left w:val="none" w:sz="0" w:space="0" w:color="auto"/>
            <w:bottom w:val="none" w:sz="0" w:space="0" w:color="auto"/>
            <w:right w:val="none" w:sz="0" w:space="0" w:color="auto"/>
          </w:divBdr>
          <w:divsChild>
            <w:div w:id="13484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5233">
      <w:bodyDiv w:val="1"/>
      <w:marLeft w:val="0"/>
      <w:marRight w:val="0"/>
      <w:marTop w:val="0"/>
      <w:marBottom w:val="0"/>
      <w:divBdr>
        <w:top w:val="none" w:sz="0" w:space="0" w:color="auto"/>
        <w:left w:val="none" w:sz="0" w:space="0" w:color="auto"/>
        <w:bottom w:val="none" w:sz="0" w:space="0" w:color="auto"/>
        <w:right w:val="none" w:sz="0" w:space="0" w:color="auto"/>
      </w:divBdr>
      <w:divsChild>
        <w:div w:id="1702245892">
          <w:marLeft w:val="0"/>
          <w:marRight w:val="0"/>
          <w:marTop w:val="0"/>
          <w:marBottom w:val="0"/>
          <w:divBdr>
            <w:top w:val="none" w:sz="0" w:space="0" w:color="auto"/>
            <w:left w:val="none" w:sz="0" w:space="0" w:color="auto"/>
            <w:bottom w:val="none" w:sz="0" w:space="0" w:color="auto"/>
            <w:right w:val="none" w:sz="0" w:space="0" w:color="auto"/>
          </w:divBdr>
          <w:divsChild>
            <w:div w:id="2474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3949">
      <w:bodyDiv w:val="1"/>
      <w:marLeft w:val="0"/>
      <w:marRight w:val="0"/>
      <w:marTop w:val="0"/>
      <w:marBottom w:val="0"/>
      <w:divBdr>
        <w:top w:val="none" w:sz="0" w:space="0" w:color="auto"/>
        <w:left w:val="none" w:sz="0" w:space="0" w:color="auto"/>
        <w:bottom w:val="none" w:sz="0" w:space="0" w:color="auto"/>
        <w:right w:val="none" w:sz="0" w:space="0" w:color="auto"/>
      </w:divBdr>
      <w:divsChild>
        <w:div w:id="1816600987">
          <w:marLeft w:val="0"/>
          <w:marRight w:val="0"/>
          <w:marTop w:val="0"/>
          <w:marBottom w:val="0"/>
          <w:divBdr>
            <w:top w:val="none" w:sz="0" w:space="0" w:color="auto"/>
            <w:left w:val="none" w:sz="0" w:space="0" w:color="auto"/>
            <w:bottom w:val="none" w:sz="0" w:space="0" w:color="auto"/>
            <w:right w:val="none" w:sz="0" w:space="0" w:color="auto"/>
          </w:divBdr>
          <w:divsChild>
            <w:div w:id="1082487998">
              <w:marLeft w:val="0"/>
              <w:marRight w:val="0"/>
              <w:marTop w:val="0"/>
              <w:marBottom w:val="0"/>
              <w:divBdr>
                <w:top w:val="none" w:sz="0" w:space="0" w:color="auto"/>
                <w:left w:val="none" w:sz="0" w:space="0" w:color="auto"/>
                <w:bottom w:val="none" w:sz="0" w:space="0" w:color="auto"/>
                <w:right w:val="none" w:sz="0" w:space="0" w:color="auto"/>
              </w:divBdr>
            </w:div>
            <w:div w:id="1505168381">
              <w:marLeft w:val="0"/>
              <w:marRight w:val="0"/>
              <w:marTop w:val="0"/>
              <w:marBottom w:val="0"/>
              <w:divBdr>
                <w:top w:val="none" w:sz="0" w:space="0" w:color="auto"/>
                <w:left w:val="none" w:sz="0" w:space="0" w:color="auto"/>
                <w:bottom w:val="none" w:sz="0" w:space="0" w:color="auto"/>
                <w:right w:val="none" w:sz="0" w:space="0" w:color="auto"/>
              </w:divBdr>
            </w:div>
            <w:div w:id="383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232">
      <w:bodyDiv w:val="1"/>
      <w:marLeft w:val="0"/>
      <w:marRight w:val="0"/>
      <w:marTop w:val="0"/>
      <w:marBottom w:val="0"/>
      <w:divBdr>
        <w:top w:val="none" w:sz="0" w:space="0" w:color="auto"/>
        <w:left w:val="none" w:sz="0" w:space="0" w:color="auto"/>
        <w:bottom w:val="none" w:sz="0" w:space="0" w:color="auto"/>
        <w:right w:val="none" w:sz="0" w:space="0" w:color="auto"/>
      </w:divBdr>
      <w:divsChild>
        <w:div w:id="51392554">
          <w:marLeft w:val="0"/>
          <w:marRight w:val="0"/>
          <w:marTop w:val="0"/>
          <w:marBottom w:val="0"/>
          <w:divBdr>
            <w:top w:val="none" w:sz="0" w:space="0" w:color="auto"/>
            <w:left w:val="none" w:sz="0" w:space="0" w:color="auto"/>
            <w:bottom w:val="none" w:sz="0" w:space="0" w:color="auto"/>
            <w:right w:val="none" w:sz="0" w:space="0" w:color="auto"/>
          </w:divBdr>
          <w:divsChild>
            <w:div w:id="4340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6502">
      <w:bodyDiv w:val="1"/>
      <w:marLeft w:val="0"/>
      <w:marRight w:val="0"/>
      <w:marTop w:val="0"/>
      <w:marBottom w:val="0"/>
      <w:divBdr>
        <w:top w:val="none" w:sz="0" w:space="0" w:color="auto"/>
        <w:left w:val="none" w:sz="0" w:space="0" w:color="auto"/>
        <w:bottom w:val="none" w:sz="0" w:space="0" w:color="auto"/>
        <w:right w:val="none" w:sz="0" w:space="0" w:color="auto"/>
      </w:divBdr>
      <w:divsChild>
        <w:div w:id="548760986">
          <w:marLeft w:val="0"/>
          <w:marRight w:val="0"/>
          <w:marTop w:val="0"/>
          <w:marBottom w:val="0"/>
          <w:divBdr>
            <w:top w:val="none" w:sz="0" w:space="0" w:color="auto"/>
            <w:left w:val="none" w:sz="0" w:space="0" w:color="auto"/>
            <w:bottom w:val="none" w:sz="0" w:space="0" w:color="auto"/>
            <w:right w:val="none" w:sz="0" w:space="0" w:color="auto"/>
          </w:divBdr>
          <w:divsChild>
            <w:div w:id="714042649">
              <w:marLeft w:val="0"/>
              <w:marRight w:val="0"/>
              <w:marTop w:val="0"/>
              <w:marBottom w:val="0"/>
              <w:divBdr>
                <w:top w:val="none" w:sz="0" w:space="0" w:color="auto"/>
                <w:left w:val="none" w:sz="0" w:space="0" w:color="auto"/>
                <w:bottom w:val="none" w:sz="0" w:space="0" w:color="auto"/>
                <w:right w:val="none" w:sz="0" w:space="0" w:color="auto"/>
              </w:divBdr>
            </w:div>
            <w:div w:id="1925532294">
              <w:marLeft w:val="0"/>
              <w:marRight w:val="0"/>
              <w:marTop w:val="0"/>
              <w:marBottom w:val="0"/>
              <w:divBdr>
                <w:top w:val="none" w:sz="0" w:space="0" w:color="auto"/>
                <w:left w:val="none" w:sz="0" w:space="0" w:color="auto"/>
                <w:bottom w:val="none" w:sz="0" w:space="0" w:color="auto"/>
                <w:right w:val="none" w:sz="0" w:space="0" w:color="auto"/>
              </w:divBdr>
            </w:div>
            <w:div w:id="381254822">
              <w:marLeft w:val="0"/>
              <w:marRight w:val="0"/>
              <w:marTop w:val="0"/>
              <w:marBottom w:val="0"/>
              <w:divBdr>
                <w:top w:val="none" w:sz="0" w:space="0" w:color="auto"/>
                <w:left w:val="none" w:sz="0" w:space="0" w:color="auto"/>
                <w:bottom w:val="none" w:sz="0" w:space="0" w:color="auto"/>
                <w:right w:val="none" w:sz="0" w:space="0" w:color="auto"/>
              </w:divBdr>
            </w:div>
            <w:div w:id="3703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349">
      <w:bodyDiv w:val="1"/>
      <w:marLeft w:val="0"/>
      <w:marRight w:val="0"/>
      <w:marTop w:val="0"/>
      <w:marBottom w:val="0"/>
      <w:divBdr>
        <w:top w:val="none" w:sz="0" w:space="0" w:color="auto"/>
        <w:left w:val="none" w:sz="0" w:space="0" w:color="auto"/>
        <w:bottom w:val="none" w:sz="0" w:space="0" w:color="auto"/>
        <w:right w:val="none" w:sz="0" w:space="0" w:color="auto"/>
      </w:divBdr>
      <w:divsChild>
        <w:div w:id="259528645">
          <w:marLeft w:val="0"/>
          <w:marRight w:val="0"/>
          <w:marTop w:val="0"/>
          <w:marBottom w:val="0"/>
          <w:divBdr>
            <w:top w:val="none" w:sz="0" w:space="0" w:color="auto"/>
            <w:left w:val="none" w:sz="0" w:space="0" w:color="auto"/>
            <w:bottom w:val="none" w:sz="0" w:space="0" w:color="auto"/>
            <w:right w:val="none" w:sz="0" w:space="0" w:color="auto"/>
          </w:divBdr>
          <w:divsChild>
            <w:div w:id="83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6938">
      <w:bodyDiv w:val="1"/>
      <w:marLeft w:val="0"/>
      <w:marRight w:val="0"/>
      <w:marTop w:val="0"/>
      <w:marBottom w:val="0"/>
      <w:divBdr>
        <w:top w:val="none" w:sz="0" w:space="0" w:color="auto"/>
        <w:left w:val="none" w:sz="0" w:space="0" w:color="auto"/>
        <w:bottom w:val="none" w:sz="0" w:space="0" w:color="auto"/>
        <w:right w:val="none" w:sz="0" w:space="0" w:color="auto"/>
      </w:divBdr>
      <w:divsChild>
        <w:div w:id="538665009">
          <w:marLeft w:val="0"/>
          <w:marRight w:val="0"/>
          <w:marTop w:val="0"/>
          <w:marBottom w:val="0"/>
          <w:divBdr>
            <w:top w:val="none" w:sz="0" w:space="0" w:color="auto"/>
            <w:left w:val="none" w:sz="0" w:space="0" w:color="auto"/>
            <w:bottom w:val="none" w:sz="0" w:space="0" w:color="auto"/>
            <w:right w:val="none" w:sz="0" w:space="0" w:color="auto"/>
          </w:divBdr>
          <w:divsChild>
            <w:div w:id="12363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215">
      <w:bodyDiv w:val="1"/>
      <w:marLeft w:val="0"/>
      <w:marRight w:val="0"/>
      <w:marTop w:val="0"/>
      <w:marBottom w:val="0"/>
      <w:divBdr>
        <w:top w:val="none" w:sz="0" w:space="0" w:color="auto"/>
        <w:left w:val="none" w:sz="0" w:space="0" w:color="auto"/>
        <w:bottom w:val="none" w:sz="0" w:space="0" w:color="auto"/>
        <w:right w:val="none" w:sz="0" w:space="0" w:color="auto"/>
      </w:divBdr>
      <w:divsChild>
        <w:div w:id="271669310">
          <w:marLeft w:val="0"/>
          <w:marRight w:val="0"/>
          <w:marTop w:val="0"/>
          <w:marBottom w:val="0"/>
          <w:divBdr>
            <w:top w:val="none" w:sz="0" w:space="0" w:color="auto"/>
            <w:left w:val="none" w:sz="0" w:space="0" w:color="auto"/>
            <w:bottom w:val="none" w:sz="0" w:space="0" w:color="auto"/>
            <w:right w:val="none" w:sz="0" w:space="0" w:color="auto"/>
          </w:divBdr>
          <w:divsChild>
            <w:div w:id="910038042">
              <w:marLeft w:val="0"/>
              <w:marRight w:val="0"/>
              <w:marTop w:val="0"/>
              <w:marBottom w:val="0"/>
              <w:divBdr>
                <w:top w:val="none" w:sz="0" w:space="0" w:color="auto"/>
                <w:left w:val="none" w:sz="0" w:space="0" w:color="auto"/>
                <w:bottom w:val="none" w:sz="0" w:space="0" w:color="auto"/>
                <w:right w:val="none" w:sz="0" w:space="0" w:color="auto"/>
              </w:divBdr>
            </w:div>
            <w:div w:id="1168251208">
              <w:marLeft w:val="0"/>
              <w:marRight w:val="0"/>
              <w:marTop w:val="0"/>
              <w:marBottom w:val="0"/>
              <w:divBdr>
                <w:top w:val="none" w:sz="0" w:space="0" w:color="auto"/>
                <w:left w:val="none" w:sz="0" w:space="0" w:color="auto"/>
                <w:bottom w:val="none" w:sz="0" w:space="0" w:color="auto"/>
                <w:right w:val="none" w:sz="0" w:space="0" w:color="auto"/>
              </w:divBdr>
            </w:div>
            <w:div w:id="1967546047">
              <w:marLeft w:val="0"/>
              <w:marRight w:val="0"/>
              <w:marTop w:val="0"/>
              <w:marBottom w:val="0"/>
              <w:divBdr>
                <w:top w:val="none" w:sz="0" w:space="0" w:color="auto"/>
                <w:left w:val="none" w:sz="0" w:space="0" w:color="auto"/>
                <w:bottom w:val="none" w:sz="0" w:space="0" w:color="auto"/>
                <w:right w:val="none" w:sz="0" w:space="0" w:color="auto"/>
              </w:divBdr>
            </w:div>
            <w:div w:id="18937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4662">
      <w:bodyDiv w:val="1"/>
      <w:marLeft w:val="0"/>
      <w:marRight w:val="0"/>
      <w:marTop w:val="0"/>
      <w:marBottom w:val="0"/>
      <w:divBdr>
        <w:top w:val="none" w:sz="0" w:space="0" w:color="auto"/>
        <w:left w:val="none" w:sz="0" w:space="0" w:color="auto"/>
        <w:bottom w:val="none" w:sz="0" w:space="0" w:color="auto"/>
        <w:right w:val="none" w:sz="0" w:space="0" w:color="auto"/>
      </w:divBdr>
      <w:divsChild>
        <w:div w:id="596519902">
          <w:marLeft w:val="0"/>
          <w:marRight w:val="0"/>
          <w:marTop w:val="0"/>
          <w:marBottom w:val="0"/>
          <w:divBdr>
            <w:top w:val="none" w:sz="0" w:space="0" w:color="auto"/>
            <w:left w:val="none" w:sz="0" w:space="0" w:color="auto"/>
            <w:bottom w:val="none" w:sz="0" w:space="0" w:color="auto"/>
            <w:right w:val="none" w:sz="0" w:space="0" w:color="auto"/>
          </w:divBdr>
          <w:divsChild>
            <w:div w:id="1896768483">
              <w:marLeft w:val="0"/>
              <w:marRight w:val="0"/>
              <w:marTop w:val="0"/>
              <w:marBottom w:val="0"/>
              <w:divBdr>
                <w:top w:val="none" w:sz="0" w:space="0" w:color="auto"/>
                <w:left w:val="none" w:sz="0" w:space="0" w:color="auto"/>
                <w:bottom w:val="none" w:sz="0" w:space="0" w:color="auto"/>
                <w:right w:val="none" w:sz="0" w:space="0" w:color="auto"/>
              </w:divBdr>
            </w:div>
            <w:div w:id="370765137">
              <w:marLeft w:val="0"/>
              <w:marRight w:val="0"/>
              <w:marTop w:val="0"/>
              <w:marBottom w:val="0"/>
              <w:divBdr>
                <w:top w:val="none" w:sz="0" w:space="0" w:color="auto"/>
                <w:left w:val="none" w:sz="0" w:space="0" w:color="auto"/>
                <w:bottom w:val="none" w:sz="0" w:space="0" w:color="auto"/>
                <w:right w:val="none" w:sz="0" w:space="0" w:color="auto"/>
              </w:divBdr>
            </w:div>
            <w:div w:id="2008972704">
              <w:marLeft w:val="0"/>
              <w:marRight w:val="0"/>
              <w:marTop w:val="0"/>
              <w:marBottom w:val="0"/>
              <w:divBdr>
                <w:top w:val="none" w:sz="0" w:space="0" w:color="auto"/>
                <w:left w:val="none" w:sz="0" w:space="0" w:color="auto"/>
                <w:bottom w:val="none" w:sz="0" w:space="0" w:color="auto"/>
                <w:right w:val="none" w:sz="0" w:space="0" w:color="auto"/>
              </w:divBdr>
            </w:div>
            <w:div w:id="2147355524">
              <w:marLeft w:val="0"/>
              <w:marRight w:val="0"/>
              <w:marTop w:val="0"/>
              <w:marBottom w:val="0"/>
              <w:divBdr>
                <w:top w:val="none" w:sz="0" w:space="0" w:color="auto"/>
                <w:left w:val="none" w:sz="0" w:space="0" w:color="auto"/>
                <w:bottom w:val="none" w:sz="0" w:space="0" w:color="auto"/>
                <w:right w:val="none" w:sz="0" w:space="0" w:color="auto"/>
              </w:divBdr>
            </w:div>
            <w:div w:id="1336767315">
              <w:marLeft w:val="0"/>
              <w:marRight w:val="0"/>
              <w:marTop w:val="0"/>
              <w:marBottom w:val="0"/>
              <w:divBdr>
                <w:top w:val="none" w:sz="0" w:space="0" w:color="auto"/>
                <w:left w:val="none" w:sz="0" w:space="0" w:color="auto"/>
                <w:bottom w:val="none" w:sz="0" w:space="0" w:color="auto"/>
                <w:right w:val="none" w:sz="0" w:space="0" w:color="auto"/>
              </w:divBdr>
            </w:div>
            <w:div w:id="1825852789">
              <w:marLeft w:val="0"/>
              <w:marRight w:val="0"/>
              <w:marTop w:val="0"/>
              <w:marBottom w:val="0"/>
              <w:divBdr>
                <w:top w:val="none" w:sz="0" w:space="0" w:color="auto"/>
                <w:left w:val="none" w:sz="0" w:space="0" w:color="auto"/>
                <w:bottom w:val="none" w:sz="0" w:space="0" w:color="auto"/>
                <w:right w:val="none" w:sz="0" w:space="0" w:color="auto"/>
              </w:divBdr>
            </w:div>
            <w:div w:id="483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529">
      <w:bodyDiv w:val="1"/>
      <w:marLeft w:val="0"/>
      <w:marRight w:val="0"/>
      <w:marTop w:val="0"/>
      <w:marBottom w:val="0"/>
      <w:divBdr>
        <w:top w:val="none" w:sz="0" w:space="0" w:color="auto"/>
        <w:left w:val="none" w:sz="0" w:space="0" w:color="auto"/>
        <w:bottom w:val="none" w:sz="0" w:space="0" w:color="auto"/>
        <w:right w:val="none" w:sz="0" w:space="0" w:color="auto"/>
      </w:divBdr>
      <w:divsChild>
        <w:div w:id="2104105385">
          <w:marLeft w:val="0"/>
          <w:marRight w:val="0"/>
          <w:marTop w:val="0"/>
          <w:marBottom w:val="0"/>
          <w:divBdr>
            <w:top w:val="none" w:sz="0" w:space="0" w:color="auto"/>
            <w:left w:val="none" w:sz="0" w:space="0" w:color="auto"/>
            <w:bottom w:val="none" w:sz="0" w:space="0" w:color="auto"/>
            <w:right w:val="none" w:sz="0" w:space="0" w:color="auto"/>
          </w:divBdr>
          <w:divsChild>
            <w:div w:id="416875062">
              <w:marLeft w:val="0"/>
              <w:marRight w:val="0"/>
              <w:marTop w:val="0"/>
              <w:marBottom w:val="0"/>
              <w:divBdr>
                <w:top w:val="none" w:sz="0" w:space="0" w:color="auto"/>
                <w:left w:val="none" w:sz="0" w:space="0" w:color="auto"/>
                <w:bottom w:val="none" w:sz="0" w:space="0" w:color="auto"/>
                <w:right w:val="none" w:sz="0" w:space="0" w:color="auto"/>
              </w:divBdr>
            </w:div>
            <w:div w:id="1235361206">
              <w:marLeft w:val="0"/>
              <w:marRight w:val="0"/>
              <w:marTop w:val="0"/>
              <w:marBottom w:val="0"/>
              <w:divBdr>
                <w:top w:val="none" w:sz="0" w:space="0" w:color="auto"/>
                <w:left w:val="none" w:sz="0" w:space="0" w:color="auto"/>
                <w:bottom w:val="none" w:sz="0" w:space="0" w:color="auto"/>
                <w:right w:val="none" w:sz="0" w:space="0" w:color="auto"/>
              </w:divBdr>
            </w:div>
            <w:div w:id="1683972402">
              <w:marLeft w:val="0"/>
              <w:marRight w:val="0"/>
              <w:marTop w:val="0"/>
              <w:marBottom w:val="0"/>
              <w:divBdr>
                <w:top w:val="none" w:sz="0" w:space="0" w:color="auto"/>
                <w:left w:val="none" w:sz="0" w:space="0" w:color="auto"/>
                <w:bottom w:val="none" w:sz="0" w:space="0" w:color="auto"/>
                <w:right w:val="none" w:sz="0" w:space="0" w:color="auto"/>
              </w:divBdr>
            </w:div>
            <w:div w:id="15763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063">
      <w:bodyDiv w:val="1"/>
      <w:marLeft w:val="0"/>
      <w:marRight w:val="0"/>
      <w:marTop w:val="0"/>
      <w:marBottom w:val="0"/>
      <w:divBdr>
        <w:top w:val="none" w:sz="0" w:space="0" w:color="auto"/>
        <w:left w:val="none" w:sz="0" w:space="0" w:color="auto"/>
        <w:bottom w:val="none" w:sz="0" w:space="0" w:color="auto"/>
        <w:right w:val="none" w:sz="0" w:space="0" w:color="auto"/>
      </w:divBdr>
      <w:divsChild>
        <w:div w:id="212812150">
          <w:marLeft w:val="0"/>
          <w:marRight w:val="0"/>
          <w:marTop w:val="0"/>
          <w:marBottom w:val="0"/>
          <w:divBdr>
            <w:top w:val="none" w:sz="0" w:space="0" w:color="auto"/>
            <w:left w:val="none" w:sz="0" w:space="0" w:color="auto"/>
            <w:bottom w:val="none" w:sz="0" w:space="0" w:color="auto"/>
            <w:right w:val="none" w:sz="0" w:space="0" w:color="auto"/>
          </w:divBdr>
          <w:divsChild>
            <w:div w:id="920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6159">
      <w:bodyDiv w:val="1"/>
      <w:marLeft w:val="0"/>
      <w:marRight w:val="0"/>
      <w:marTop w:val="0"/>
      <w:marBottom w:val="0"/>
      <w:divBdr>
        <w:top w:val="none" w:sz="0" w:space="0" w:color="auto"/>
        <w:left w:val="none" w:sz="0" w:space="0" w:color="auto"/>
        <w:bottom w:val="none" w:sz="0" w:space="0" w:color="auto"/>
        <w:right w:val="none" w:sz="0" w:space="0" w:color="auto"/>
      </w:divBdr>
    </w:div>
    <w:div w:id="2063866137">
      <w:bodyDiv w:val="1"/>
      <w:marLeft w:val="0"/>
      <w:marRight w:val="0"/>
      <w:marTop w:val="0"/>
      <w:marBottom w:val="0"/>
      <w:divBdr>
        <w:top w:val="none" w:sz="0" w:space="0" w:color="auto"/>
        <w:left w:val="none" w:sz="0" w:space="0" w:color="auto"/>
        <w:bottom w:val="none" w:sz="0" w:space="0" w:color="auto"/>
        <w:right w:val="none" w:sz="0" w:space="0" w:color="auto"/>
      </w:divBdr>
      <w:divsChild>
        <w:div w:id="777718728">
          <w:marLeft w:val="0"/>
          <w:marRight w:val="0"/>
          <w:marTop w:val="0"/>
          <w:marBottom w:val="0"/>
          <w:divBdr>
            <w:top w:val="none" w:sz="0" w:space="0" w:color="auto"/>
            <w:left w:val="none" w:sz="0" w:space="0" w:color="auto"/>
            <w:bottom w:val="none" w:sz="0" w:space="0" w:color="auto"/>
            <w:right w:val="none" w:sz="0" w:space="0" w:color="auto"/>
          </w:divBdr>
          <w:divsChild>
            <w:div w:id="4847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076">
      <w:bodyDiv w:val="1"/>
      <w:marLeft w:val="0"/>
      <w:marRight w:val="0"/>
      <w:marTop w:val="0"/>
      <w:marBottom w:val="0"/>
      <w:divBdr>
        <w:top w:val="none" w:sz="0" w:space="0" w:color="auto"/>
        <w:left w:val="none" w:sz="0" w:space="0" w:color="auto"/>
        <w:bottom w:val="none" w:sz="0" w:space="0" w:color="auto"/>
        <w:right w:val="none" w:sz="0" w:space="0" w:color="auto"/>
      </w:divBdr>
      <w:divsChild>
        <w:div w:id="153305206">
          <w:marLeft w:val="0"/>
          <w:marRight w:val="0"/>
          <w:marTop w:val="0"/>
          <w:marBottom w:val="0"/>
          <w:divBdr>
            <w:top w:val="none" w:sz="0" w:space="0" w:color="auto"/>
            <w:left w:val="none" w:sz="0" w:space="0" w:color="auto"/>
            <w:bottom w:val="none" w:sz="0" w:space="0" w:color="auto"/>
            <w:right w:val="none" w:sz="0" w:space="0" w:color="auto"/>
          </w:divBdr>
          <w:divsChild>
            <w:div w:id="1511725195">
              <w:marLeft w:val="0"/>
              <w:marRight w:val="0"/>
              <w:marTop w:val="0"/>
              <w:marBottom w:val="0"/>
              <w:divBdr>
                <w:top w:val="none" w:sz="0" w:space="0" w:color="auto"/>
                <w:left w:val="none" w:sz="0" w:space="0" w:color="auto"/>
                <w:bottom w:val="none" w:sz="0" w:space="0" w:color="auto"/>
                <w:right w:val="none" w:sz="0" w:space="0" w:color="auto"/>
              </w:divBdr>
            </w:div>
            <w:div w:id="446119420">
              <w:marLeft w:val="0"/>
              <w:marRight w:val="0"/>
              <w:marTop w:val="0"/>
              <w:marBottom w:val="0"/>
              <w:divBdr>
                <w:top w:val="none" w:sz="0" w:space="0" w:color="auto"/>
                <w:left w:val="none" w:sz="0" w:space="0" w:color="auto"/>
                <w:bottom w:val="none" w:sz="0" w:space="0" w:color="auto"/>
                <w:right w:val="none" w:sz="0" w:space="0" w:color="auto"/>
              </w:divBdr>
            </w:div>
            <w:div w:id="298613269">
              <w:marLeft w:val="0"/>
              <w:marRight w:val="0"/>
              <w:marTop w:val="0"/>
              <w:marBottom w:val="0"/>
              <w:divBdr>
                <w:top w:val="none" w:sz="0" w:space="0" w:color="auto"/>
                <w:left w:val="none" w:sz="0" w:space="0" w:color="auto"/>
                <w:bottom w:val="none" w:sz="0" w:space="0" w:color="auto"/>
                <w:right w:val="none" w:sz="0" w:space="0" w:color="auto"/>
              </w:divBdr>
            </w:div>
            <w:div w:id="7013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016/S0140-9883(99)0002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xryy\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3F0C0082AD34DC2A9F5D62EB48E832A"/>
        <w:category>
          <w:name w:val="General"/>
          <w:gallery w:val="placeholder"/>
        </w:category>
        <w:types>
          <w:type w:val="bbPlcHdr"/>
        </w:types>
        <w:behaviors>
          <w:behavior w:val="content"/>
        </w:behaviors>
        <w:guid w:val="{24701C99-795D-4809-9A7C-9B4AD6AAC6E6}"/>
      </w:docPartPr>
      <w:docPartBody>
        <w:p w:rsidR="000F04BD" w:rsidRDefault="000F04BD">
          <w:pPr>
            <w:pStyle w:val="B3F0C0082AD34DC2A9F5D62EB48E832A"/>
          </w:pPr>
          <w:r w:rsidRPr="576062CF">
            <w:t>Author Note</w:t>
          </w:r>
        </w:p>
      </w:docPartBody>
    </w:docPart>
    <w:docPart>
      <w:docPartPr>
        <w:name w:val="DDBBC5AD064148C59501A15952E7FF47"/>
        <w:category>
          <w:name w:val="General"/>
          <w:gallery w:val="placeholder"/>
        </w:category>
        <w:types>
          <w:type w:val="bbPlcHdr"/>
        </w:types>
        <w:behaviors>
          <w:behavior w:val="content"/>
        </w:behaviors>
        <w:guid w:val="{45B8BBA9-FD80-43D8-9250-B08C0D0365ED}"/>
      </w:docPartPr>
      <w:docPartBody>
        <w:p w:rsidR="000F04BD" w:rsidRDefault="000F04BD">
          <w:pPr>
            <w:pStyle w:val="DDBBC5AD064148C59501A15952E7FF47"/>
          </w:pPr>
          <w:r w:rsidRPr="576062CF">
            <w:t>Abstract</w:t>
          </w:r>
        </w:p>
      </w:docPartBody>
    </w:docPart>
    <w:docPart>
      <w:docPartPr>
        <w:name w:val="F62DD05E07574B70B0DFE3493F49FD2F"/>
        <w:category>
          <w:name w:val="General"/>
          <w:gallery w:val="placeholder"/>
        </w:category>
        <w:types>
          <w:type w:val="bbPlcHdr"/>
        </w:types>
        <w:behaviors>
          <w:behavior w:val="content"/>
        </w:behaviors>
        <w:guid w:val="{C8F2E4AB-7B85-478D-B916-1E1A23CBF4A1}"/>
      </w:docPartPr>
      <w:docPartBody>
        <w:p w:rsidR="000F04BD" w:rsidRDefault="000F04BD">
          <w:pPr>
            <w:pStyle w:val="F62DD05E07574B70B0DFE3493F49FD2F"/>
          </w:pPr>
          <w:r w:rsidRPr="00500997">
            <w:rPr>
              <w:rStyle w:val="Emphasis"/>
            </w:rPr>
            <w:t>Keywords</w:t>
          </w:r>
          <w:r>
            <w:t>:</w:t>
          </w:r>
        </w:p>
      </w:docPartBody>
    </w:docPart>
    <w:docPart>
      <w:docPartPr>
        <w:name w:val="3EBF8B4B53C7435DAA7E1969AE581172"/>
        <w:category>
          <w:name w:val="General"/>
          <w:gallery w:val="placeholder"/>
        </w:category>
        <w:types>
          <w:type w:val="bbPlcHdr"/>
        </w:types>
        <w:behaviors>
          <w:behavior w:val="content"/>
        </w:behaviors>
        <w:guid w:val="{448F159A-7838-498B-8431-ABCFB1B3AE7D}"/>
      </w:docPartPr>
      <w:docPartBody>
        <w:p w:rsidR="000F04BD" w:rsidRDefault="000F04BD">
          <w:pPr>
            <w:pStyle w:val="3EBF8B4B53C7435DAA7E1969AE581172"/>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D"/>
    <w:rsid w:val="000F04BD"/>
    <w:rsid w:val="00274C56"/>
    <w:rsid w:val="0032161D"/>
    <w:rsid w:val="003E3731"/>
    <w:rsid w:val="00623D93"/>
    <w:rsid w:val="009961E5"/>
    <w:rsid w:val="00A04168"/>
    <w:rsid w:val="00A77514"/>
    <w:rsid w:val="00B73637"/>
    <w:rsid w:val="00EA71B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en-A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168"/>
    <w:rPr>
      <w:color w:val="808080"/>
    </w:rPr>
  </w:style>
  <w:style w:type="paragraph" w:customStyle="1" w:styleId="B3F0C0082AD34DC2A9F5D62EB48E832A">
    <w:name w:val="B3F0C0082AD34DC2A9F5D62EB48E832A"/>
  </w:style>
  <w:style w:type="paragraph" w:customStyle="1" w:styleId="DDBBC5AD064148C59501A15952E7FF47">
    <w:name w:val="DDBBC5AD064148C59501A15952E7FF47"/>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F62DD05E07574B70B0DFE3493F49FD2F">
    <w:name w:val="F62DD05E07574B70B0DFE3493F49FD2F"/>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3EBF8B4B53C7435DAA7E1969AE581172">
    <w:name w:val="3EBF8B4B53C7435DAA7E1969AE581172"/>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31F76C-55B2-4ECF-9477-5B6A622BF6AB}">
  <ds:schemaRefs>
    <ds:schemaRef ds:uri="http://schemas.openxmlformats.org/officeDocument/2006/bibliography"/>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111</TotalTime>
  <Pages>11</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Briki</dc:creator>
  <cp:keywords/>
  <dc:description/>
  <cp:lastModifiedBy>Maryam Briki</cp:lastModifiedBy>
  <cp:revision>53</cp:revision>
  <cp:lastPrinted>2025-04-28T21:36:00Z</cp:lastPrinted>
  <dcterms:created xsi:type="dcterms:W3CDTF">2025-04-28T20:19:00Z</dcterms:created>
  <dcterms:modified xsi:type="dcterms:W3CDTF">2025-04-28T22:36:00Z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