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4E5F"/>
          <w:sz w:val="44"/>
          <w:szCs w:val="44"/>
        </w:rPr>
        <w:t xml:space="preserve">Telco Customer Churn Prediction</w:t>
      </w:r>
    </w:p>
    <w:p>
      <w:pPr>
        <w:spacing w:after="100"/>
        <w:jc w:val="center"/>
      </w:pPr>
      <w:r>
        <w:rPr>
          <w:rFonts w:ascii="Calibri" w:cs="Calibri" w:eastAsia="Calibri" w:hAnsi="Calibri"/>
          <w:color w:val="444444"/>
          <w:sz w:val="26"/>
          <w:szCs w:val="26"/>
        </w:rPr>
        <w:t xml:space="preserve">Machine Learning Project Documentation</w:t>
      </w:r>
    </w:p>
    <w:p>
      <w:pPr>
        <w:spacing w:after="2600"/>
        <w:jc w:val="center"/>
      </w:pPr>
      <w:r>
        <w:rPr>
          <w:rFonts w:ascii="Calibri" w:cs="Calibri" w:eastAsia="Calibri" w:hAnsi="Calibri"/>
          <w:i/>
          <w:iCs/>
          <w:color w:val="666666"/>
          <w:sz w:val="22"/>
          <w:szCs w:val="22"/>
        </w:rPr>
        <w:t xml:space="preserve">Graduation Project — Machine Learning</w:t>
      </w:r>
    </w:p>
    <w:p>
      <w:pPr>
        <w:pBdr>
          <w:bottom w:val="single" w:color="CCCCCC" w:sz="6"/>
        </w:pBdr>
        <w:spacing w:after="2000"/>
      </w:pPr>
    </w:p>
    <w:p>
      <w:pPr>
        <w:pageBreakBefore/>
      </w:pPr>
    </w:p>
    <w:p>
      <w:pPr>
        <w:pStyle w:val="Heading1"/>
        <w:spacing w:after="160" w:before="320"/>
      </w:pPr>
      <w:r>
        <w:t xml:space="preserve">1. Project Overview</w:t>
      </w:r>
    </w:p>
    <w:p>
      <w:pPr>
        <w:pStyle w:val="Heading2"/>
        <w:spacing w:after="120" w:before="220"/>
      </w:pPr>
      <w:r>
        <w:t xml:space="preserve">What Is Customer Churn?</w:t>
      </w:r>
    </w:p>
    <w:p>
      <w:pPr>
        <w:spacing w:after="140" w:line="276"/>
      </w:pPr>
      <w:r>
        <w:rPr>
          <w:rFonts w:ascii="Calibri" w:cs="Calibri" w:eastAsia="Calibri" w:hAnsi="Calibri"/>
          <w:sz w:val="22"/>
          <w:szCs w:val="22"/>
        </w:rPr>
        <w:t xml:space="preserve">Customer churn refers to the phenomenon in which a customer discontinues their relationship with a company, such as cancelling a subscription or switching to a competing service provider. In the telecommunications sector, churn typically means a customer terminating their phone, internet, or streaming services.</w:t>
      </w:r>
    </w:p>
    <w:p>
      <w:pPr>
        <w:pStyle w:val="Heading2"/>
        <w:spacing w:after="120" w:before="220"/>
      </w:pPr>
      <w:r>
        <w:t xml:space="preserve">Why Is Predicting Churn Important?</w:t>
      </w:r>
    </w:p>
    <w:p>
      <w:pPr>
        <w:spacing w:after="140" w:line="276"/>
      </w:pPr>
      <w:r>
        <w:rPr>
          <w:rFonts w:ascii="Calibri" w:cs="Calibri" w:eastAsia="Calibri" w:hAnsi="Calibri"/>
          <w:sz w:val="22"/>
          <w:szCs w:val="22"/>
        </w:rPr>
        <w:t xml:space="preserve">Retaining an existing customer is generally far less costly than acquiring a new one. By identifying customers who are likely to churn before they leave, a company can proactively intervene with targeted retention offers, improved service, or personalized communication, thereby reducing revenue loss and improving long-term customer lifetime value.</w:t>
      </w:r>
    </w:p>
    <w:p>
      <w:pPr>
        <w:pStyle w:val="Heading2"/>
        <w:spacing w:after="120" w:before="220"/>
      </w:pPr>
      <w:r>
        <w:t xml:space="preserve">Project Objective</w:t>
      </w:r>
    </w:p>
    <w:p>
      <w:pPr>
        <w:spacing w:after="140" w:line="276"/>
      </w:pPr>
      <w:r>
        <w:rPr>
          <w:rFonts w:ascii="Calibri" w:cs="Calibri" w:eastAsia="Calibri" w:hAnsi="Calibri"/>
          <w:sz w:val="22"/>
          <w:szCs w:val="22"/>
        </w:rPr>
        <w:t xml:space="preserve">This project builds a complete, end-to-end machine learning pipeline to predict customer churn using the IBM Telco Customer Churn dataset. The pipeline covers data cleaning, exploratory data analysis, feature selection, comparison of multiple classification algorithms, hyperparameter tuning, and final model evaluation. The trained model and preprocessing pipeline are then deployed through an interactive Streamlit web application that allows users to predict churn for new customers in real time. Only the real, provided dataset is used throughout the project; no synthetic data is introduced at any stage.</w:t>
      </w:r>
    </w:p>
    <w:p>
      <w:pPr>
        <w:pStyle w:val="Heading1"/>
        <w:spacing w:after="160" w:before="320"/>
      </w:pPr>
      <w:r>
        <w:t xml:space="preserve">2. Dataset</w:t>
      </w:r>
    </w:p>
    <w:p>
      <w:pPr>
        <w:pStyle w:val="ListParagraph"/>
        <w:numPr>
          <w:ilvl w:val="0"/>
          <w:numId w:val="1"/>
        </w:numPr>
        <w:spacing w:after="70" w:line="276"/>
      </w:pPr>
      <w:r>
        <w:rPr>
          <w:rFonts w:ascii="Calibri" w:cs="Calibri" w:eastAsia="Calibri" w:hAnsi="Calibri"/>
          <w:b/>
          <w:bCs/>
          <w:sz w:val="22"/>
          <w:szCs w:val="22"/>
        </w:rPr>
        <w:t xml:space="preserve">Dataset name: </w:t>
      </w:r>
      <w:r>
        <w:rPr>
          <w:rFonts w:ascii="Calibri" w:cs="Calibri" w:eastAsia="Calibri" w:hAnsi="Calibri"/>
          <w:sz w:val="22"/>
          <w:szCs w:val="22"/>
        </w:rPr>
        <w:t xml:space="preserve">IBM Telco Customer Churn (file: WA_Fn-UseC_-Telco-Customer-Churn.csv)</w:t>
      </w:r>
    </w:p>
    <w:p>
      <w:pPr>
        <w:pStyle w:val="ListParagraph"/>
        <w:numPr>
          <w:ilvl w:val="0"/>
          <w:numId w:val="1"/>
        </w:numPr>
        <w:spacing w:after="70" w:line="276"/>
      </w:pPr>
      <w:r>
        <w:rPr>
          <w:rFonts w:ascii="Calibri" w:cs="Calibri" w:eastAsia="Calibri" w:hAnsi="Calibri"/>
          <w:b/>
          <w:bCs/>
          <w:sz w:val="22"/>
          <w:szCs w:val="22"/>
        </w:rPr>
        <w:t xml:space="preserve">Size: </w:t>
      </w:r>
      <w:r>
        <w:rPr>
          <w:rFonts w:ascii="Calibri" w:cs="Calibri" w:eastAsia="Calibri" w:hAnsi="Calibri"/>
          <w:sz w:val="22"/>
          <w:szCs w:val="22"/>
        </w:rPr>
        <w:t xml:space="preserve">7,043 rows and 21 columns (20 features plus the target variable).</w:t>
      </w:r>
    </w:p>
    <w:p>
      <w:pPr>
        <w:pStyle w:val="ListParagraph"/>
        <w:numPr>
          <w:ilvl w:val="0"/>
          <w:numId w:val="1"/>
        </w:numPr>
        <w:spacing w:after="70" w:line="276"/>
      </w:pPr>
      <w:r>
        <w:rPr>
          <w:rFonts w:ascii="Calibri" w:cs="Calibri" w:eastAsia="Calibri" w:hAnsi="Calibri"/>
          <w:b/>
          <w:bCs/>
          <w:sz w:val="22"/>
          <w:szCs w:val="22"/>
        </w:rPr>
        <w:t xml:space="preserve">Target variable: </w:t>
      </w:r>
      <w:r>
        <w:rPr>
          <w:rFonts w:ascii="Calibri" w:cs="Calibri" w:eastAsia="Calibri" w:hAnsi="Calibri"/>
          <w:sz w:val="22"/>
          <w:szCs w:val="22"/>
        </w:rPr>
        <w:t xml:space="preserve">Churn — a binary label indicating whether a customer left the company ("Yes"/"No"), later encoded as 1/0. The target is imbalanced, with approximately 73.5% "No" and 26.5% "Yes".</w:t>
      </w:r>
    </w:p>
    <w:p>
      <w:pPr>
        <w:pStyle w:val="Heading2"/>
        <w:spacing w:after="120" w:before="220"/>
      </w:pPr>
      <w:r>
        <w:t xml:space="preserve">Key Features</w:t>
      </w:r>
    </w:p>
    <w:p>
      <w:pPr>
        <w:spacing w:after="140" w:line="276"/>
      </w:pPr>
      <w:r>
        <w:rPr>
          <w:rFonts w:ascii="Calibri" w:cs="Calibri" w:eastAsia="Calibri" w:hAnsi="Calibri"/>
          <w:sz w:val="22"/>
          <w:szCs w:val="22"/>
        </w:rPr>
        <w:t xml:space="preserve">The dataset includes demographic attributes, account information, and subscribed services. The most influential features identified during analysis include:</w:t>
      </w:r>
    </w:p>
    <w:p>
      <w:pPr>
        <w:pStyle w:val="ListParagraph"/>
        <w:numPr>
          <w:ilvl w:val="0"/>
          <w:numId w:val="1"/>
        </w:numPr>
        <w:spacing w:after="70" w:line="276"/>
      </w:pPr>
      <w:r>
        <w:rPr>
          <w:rFonts w:ascii="Calibri" w:cs="Calibri" w:eastAsia="Calibri" w:hAnsi="Calibri"/>
          <w:b/>
          <w:bCs/>
          <w:sz w:val="22"/>
          <w:szCs w:val="22"/>
        </w:rPr>
        <w:t xml:space="preserve">tenure </w:t>
      </w:r>
      <w:r>
        <w:rPr>
          <w:rFonts w:ascii="Calibri" w:cs="Calibri" w:eastAsia="Calibri" w:hAnsi="Calibri"/>
          <w:sz w:val="22"/>
          <w:szCs w:val="22"/>
        </w:rPr>
        <w:t xml:space="preserve">— number of months the customer has stayed with the company.</w:t>
      </w:r>
    </w:p>
    <w:p>
      <w:pPr>
        <w:pStyle w:val="ListParagraph"/>
        <w:numPr>
          <w:ilvl w:val="0"/>
          <w:numId w:val="1"/>
        </w:numPr>
        <w:spacing w:after="70" w:line="276"/>
      </w:pPr>
      <w:r>
        <w:rPr>
          <w:rFonts w:ascii="Calibri" w:cs="Calibri" w:eastAsia="Calibri" w:hAnsi="Calibri"/>
          <w:b/>
          <w:bCs/>
          <w:sz w:val="22"/>
          <w:szCs w:val="22"/>
        </w:rPr>
        <w:t xml:space="preserve">MonthlyCharges </w:t>
      </w:r>
      <w:r>
        <w:rPr>
          <w:rFonts w:ascii="Calibri" w:cs="Calibri" w:eastAsia="Calibri" w:hAnsi="Calibri"/>
          <w:sz w:val="22"/>
          <w:szCs w:val="22"/>
        </w:rPr>
        <w:t xml:space="preserve">and </w:t>
      </w:r>
      <w:r>
        <w:rPr>
          <w:rFonts w:ascii="Calibri" w:cs="Calibri" w:eastAsia="Calibri" w:hAnsi="Calibri"/>
          <w:b/>
          <w:bCs/>
          <w:sz w:val="22"/>
          <w:szCs w:val="22"/>
        </w:rPr>
        <w:t xml:space="preserve">TotalCharges </w:t>
      </w:r>
      <w:r>
        <w:rPr>
          <w:rFonts w:ascii="Calibri" w:cs="Calibri" w:eastAsia="Calibri" w:hAnsi="Calibri"/>
          <w:sz w:val="22"/>
          <w:szCs w:val="22"/>
        </w:rPr>
        <w:t xml:space="preserve">— the customer's billing amounts.</w:t>
      </w:r>
    </w:p>
    <w:p>
      <w:pPr>
        <w:pStyle w:val="ListParagraph"/>
        <w:numPr>
          <w:ilvl w:val="0"/>
          <w:numId w:val="1"/>
        </w:numPr>
        <w:spacing w:after="70" w:line="276"/>
      </w:pPr>
      <w:r>
        <w:rPr>
          <w:rFonts w:ascii="Calibri" w:cs="Calibri" w:eastAsia="Calibri" w:hAnsi="Calibri"/>
          <w:b/>
          <w:bCs/>
          <w:sz w:val="22"/>
          <w:szCs w:val="22"/>
        </w:rPr>
        <w:t xml:space="preserve">Contract </w:t>
      </w:r>
      <w:r>
        <w:rPr>
          <w:rFonts w:ascii="Calibri" w:cs="Calibri" w:eastAsia="Calibri" w:hAnsi="Calibri"/>
          <w:sz w:val="22"/>
          <w:szCs w:val="22"/>
        </w:rPr>
        <w:t xml:space="preserve">— contract type (month-to-month, one year, two year).</w:t>
      </w:r>
    </w:p>
    <w:p>
      <w:pPr>
        <w:pStyle w:val="ListParagraph"/>
        <w:numPr>
          <w:ilvl w:val="0"/>
          <w:numId w:val="1"/>
        </w:numPr>
        <w:spacing w:after="70" w:line="276"/>
      </w:pPr>
      <w:r>
        <w:rPr>
          <w:rFonts w:ascii="Calibri" w:cs="Calibri" w:eastAsia="Calibri" w:hAnsi="Calibri"/>
          <w:b/>
          <w:bCs/>
          <w:sz w:val="22"/>
          <w:szCs w:val="22"/>
        </w:rPr>
        <w:t xml:space="preserve">InternetService </w:t>
      </w:r>
      <w:r>
        <w:rPr>
          <w:rFonts w:ascii="Calibri" w:cs="Calibri" w:eastAsia="Calibri" w:hAnsi="Calibri"/>
          <w:sz w:val="22"/>
          <w:szCs w:val="22"/>
        </w:rPr>
        <w:t xml:space="preserve">— type of internet service (DSL, fiber optic, or none).</w:t>
      </w:r>
    </w:p>
    <w:p>
      <w:pPr>
        <w:pStyle w:val="ListParagraph"/>
        <w:numPr>
          <w:ilvl w:val="0"/>
          <w:numId w:val="1"/>
        </w:numPr>
        <w:spacing w:after="70" w:line="276"/>
      </w:pPr>
      <w:r>
        <w:rPr>
          <w:rFonts w:ascii="Calibri" w:cs="Calibri" w:eastAsia="Calibri" w:hAnsi="Calibri"/>
          <w:b/>
          <w:bCs/>
          <w:sz w:val="22"/>
          <w:szCs w:val="22"/>
        </w:rPr>
        <w:t xml:space="preserve">OnlineSecurity, OnlineBackup, DeviceProtection, TechSupport </w:t>
      </w:r>
      <w:r>
        <w:rPr>
          <w:rFonts w:ascii="Calibri" w:cs="Calibri" w:eastAsia="Calibri" w:hAnsi="Calibri"/>
          <w:sz w:val="22"/>
          <w:szCs w:val="22"/>
        </w:rPr>
        <w:t xml:space="preserve">— add-on services.</w:t>
      </w:r>
    </w:p>
    <w:p>
      <w:pPr>
        <w:pStyle w:val="ListParagraph"/>
        <w:numPr>
          <w:ilvl w:val="0"/>
          <w:numId w:val="1"/>
        </w:numPr>
        <w:spacing w:after="70" w:line="276"/>
      </w:pPr>
      <w:r>
        <w:rPr>
          <w:rFonts w:ascii="Calibri" w:cs="Calibri" w:eastAsia="Calibri" w:hAnsi="Calibri"/>
          <w:b/>
          <w:bCs/>
          <w:sz w:val="22"/>
          <w:szCs w:val="22"/>
        </w:rPr>
        <w:t xml:space="preserve">PaymentMethod </w:t>
      </w:r>
      <w:r>
        <w:rPr>
          <w:rFonts w:ascii="Calibri" w:cs="Calibri" w:eastAsia="Calibri" w:hAnsi="Calibri"/>
          <w:sz w:val="22"/>
          <w:szCs w:val="22"/>
        </w:rPr>
        <w:t xml:space="preserve">and </w:t>
      </w:r>
      <w:r>
        <w:rPr>
          <w:rFonts w:ascii="Calibri" w:cs="Calibri" w:eastAsia="Calibri" w:hAnsi="Calibri"/>
          <w:b/>
          <w:bCs/>
          <w:sz w:val="22"/>
          <w:szCs w:val="22"/>
        </w:rPr>
        <w:t xml:space="preserve">PaperlessBilling </w:t>
      </w:r>
      <w:r>
        <w:rPr>
          <w:rFonts w:ascii="Calibri" w:cs="Calibri" w:eastAsia="Calibri" w:hAnsi="Calibri"/>
          <w:sz w:val="22"/>
          <w:szCs w:val="22"/>
        </w:rPr>
        <w:t xml:space="preserve">— billing and payment preferences.</w:t>
      </w:r>
    </w:p>
    <w:p>
      <w:pPr>
        <w:pStyle w:val="ListParagraph"/>
        <w:numPr>
          <w:ilvl w:val="0"/>
          <w:numId w:val="1"/>
        </w:numPr>
        <w:spacing w:after="70" w:line="276"/>
      </w:pPr>
      <w:r>
        <w:rPr>
          <w:rFonts w:ascii="Calibri" w:cs="Calibri" w:eastAsia="Calibri" w:hAnsi="Calibri"/>
          <w:b/>
          <w:bCs/>
          <w:sz w:val="22"/>
          <w:szCs w:val="22"/>
        </w:rPr>
        <w:t xml:space="preserve">customerID </w:t>
      </w:r>
      <w:r>
        <w:rPr>
          <w:rFonts w:ascii="Calibri" w:cs="Calibri" w:eastAsia="Calibri" w:hAnsi="Calibri"/>
          <w:sz w:val="22"/>
          <w:szCs w:val="22"/>
        </w:rPr>
        <w:t xml:space="preserve">— a unique identifier with no predictive value; it was removed during cleaning.</w:t>
      </w:r>
    </w:p>
    <w:p>
      <w:pPr>
        <w:pStyle w:val="Heading1"/>
        <w:spacing w:after="160" w:before="320"/>
      </w:pPr>
      <w:r>
        <w:t xml:space="preserve">3. Data Preprocessing</w:t>
      </w:r>
    </w:p>
    <w:p>
      <w:pPr>
        <w:pStyle w:val="ListParagraph"/>
        <w:numPr>
          <w:ilvl w:val="0"/>
          <w:numId w:val="1"/>
        </w:numPr>
        <w:spacing w:after="70" w:line="276"/>
      </w:pPr>
      <w:r>
        <w:rPr>
          <w:rFonts w:ascii="Calibri" w:cs="Calibri" w:eastAsia="Calibri" w:hAnsi="Calibri"/>
          <w:b/>
          <w:bCs/>
          <w:sz w:val="22"/>
          <w:szCs w:val="22"/>
        </w:rPr>
        <w:t xml:space="preserve">Missing values: </w:t>
      </w:r>
      <w:r>
        <w:rPr>
          <w:rFonts w:ascii="Calibri" w:cs="Calibri" w:eastAsia="Calibri" w:hAnsi="Calibri"/>
          <w:sz w:val="22"/>
          <w:szCs w:val="22"/>
        </w:rPr>
        <w:t xml:space="preserve">No column contained explicit null values. However, the TotalCharges column was stored as text and contained 11 blank entries, all corresponding to customers with zero tenure (newly joined customers with no billing history yet). These values were converted to numeric type and filled with 0.</w:t>
      </w:r>
    </w:p>
    <w:p>
      <w:pPr>
        <w:pStyle w:val="ListParagraph"/>
        <w:numPr>
          <w:ilvl w:val="0"/>
          <w:numId w:val="1"/>
        </w:numPr>
        <w:spacing w:after="70" w:line="276"/>
      </w:pPr>
      <w:r>
        <w:rPr>
          <w:rFonts w:ascii="Calibri" w:cs="Calibri" w:eastAsia="Calibri" w:hAnsi="Calibri"/>
          <w:b/>
          <w:bCs/>
          <w:sz w:val="22"/>
          <w:szCs w:val="22"/>
        </w:rPr>
        <w:t xml:space="preserve">Duplicates: </w:t>
      </w:r>
      <w:r>
        <w:rPr>
          <w:rFonts w:ascii="Calibri" w:cs="Calibri" w:eastAsia="Calibri" w:hAnsi="Calibri"/>
          <w:sz w:val="22"/>
          <w:szCs w:val="22"/>
        </w:rPr>
        <w:t xml:space="preserve">No fully duplicated rows were found. Twenty-two rows shared identical attribute combinations once customerID was excluded, but since each customerID is unique, these were treated as distinct real customers and retained.</w:t>
      </w:r>
    </w:p>
    <w:p>
      <w:pPr>
        <w:pStyle w:val="ListParagraph"/>
        <w:numPr>
          <w:ilvl w:val="0"/>
          <w:numId w:val="1"/>
        </w:numPr>
        <w:spacing w:after="70" w:line="276"/>
      </w:pPr>
      <w:r>
        <w:rPr>
          <w:rFonts w:ascii="Calibri" w:cs="Calibri" w:eastAsia="Calibri" w:hAnsi="Calibri"/>
          <w:b/>
          <w:bCs/>
          <w:sz w:val="22"/>
          <w:szCs w:val="22"/>
        </w:rPr>
        <w:t xml:space="preserve">Data type conversion: </w:t>
      </w:r>
      <w:r>
        <w:rPr>
          <w:rFonts w:ascii="Calibri" w:cs="Calibri" w:eastAsia="Calibri" w:hAnsi="Calibri"/>
          <w:sz w:val="22"/>
          <w:szCs w:val="22"/>
        </w:rPr>
        <w:t xml:space="preserve">TotalCharges was converted from an object (string) type to a numeric (float) type.</w:t>
      </w:r>
    </w:p>
    <w:p>
      <w:pPr>
        <w:pStyle w:val="ListParagraph"/>
        <w:numPr>
          <w:ilvl w:val="0"/>
          <w:numId w:val="1"/>
        </w:numPr>
        <w:spacing w:after="70" w:line="276"/>
      </w:pPr>
      <w:r>
        <w:rPr>
          <w:rFonts w:ascii="Calibri" w:cs="Calibri" w:eastAsia="Calibri" w:hAnsi="Calibri"/>
          <w:b/>
          <w:bCs/>
          <w:sz w:val="22"/>
          <w:szCs w:val="22"/>
        </w:rPr>
        <w:t xml:space="preserve">Dropping unnecessary columns: </w:t>
      </w:r>
      <w:r>
        <w:rPr>
          <w:rFonts w:ascii="Calibri" w:cs="Calibri" w:eastAsia="Calibri" w:hAnsi="Calibri"/>
          <w:sz w:val="22"/>
          <w:szCs w:val="22"/>
        </w:rPr>
        <w:t xml:space="preserve">The customerID column was dropped, as it carries no predictive signal.</w:t>
      </w:r>
    </w:p>
    <w:p>
      <w:pPr>
        <w:pStyle w:val="ListParagraph"/>
        <w:numPr>
          <w:ilvl w:val="0"/>
          <w:numId w:val="1"/>
        </w:numPr>
        <w:spacing w:after="70" w:line="276"/>
      </w:pPr>
      <w:r>
        <w:rPr>
          <w:rFonts w:ascii="Calibri" w:cs="Calibri" w:eastAsia="Calibri" w:hAnsi="Calibri"/>
          <w:b/>
          <w:bCs/>
          <w:sz w:val="22"/>
          <w:szCs w:val="22"/>
        </w:rPr>
        <w:t xml:space="preserve">Encoding categorical variables: </w:t>
      </w:r>
      <w:r>
        <w:rPr>
          <w:rFonts w:ascii="Calibri" w:cs="Calibri" w:eastAsia="Calibri" w:hAnsi="Calibri"/>
          <w:sz w:val="22"/>
          <w:szCs w:val="22"/>
        </w:rPr>
        <w:t xml:space="preserve">All categorical features were one-hot encoded using OneHotEncoder within a ColumnTransformer.</w:t>
      </w:r>
    </w:p>
    <w:p>
      <w:pPr>
        <w:pStyle w:val="ListParagraph"/>
        <w:numPr>
          <w:ilvl w:val="0"/>
          <w:numId w:val="1"/>
        </w:numPr>
        <w:spacing w:after="70" w:line="276"/>
      </w:pPr>
      <w:r>
        <w:rPr>
          <w:rFonts w:ascii="Calibri" w:cs="Calibri" w:eastAsia="Calibri" w:hAnsi="Calibri"/>
          <w:b/>
          <w:bCs/>
          <w:sz w:val="22"/>
          <w:szCs w:val="22"/>
        </w:rPr>
        <w:t xml:space="preserve">Feature scaling: </w:t>
      </w:r>
      <w:r>
        <w:rPr>
          <w:rFonts w:ascii="Calibri" w:cs="Calibri" w:eastAsia="Calibri" w:hAnsi="Calibri"/>
          <w:sz w:val="22"/>
          <w:szCs w:val="22"/>
        </w:rPr>
        <w:t xml:space="preserve">The numeric features (tenure, MonthlyCharges, TotalCharges) were standardized using StandardScaler, with missing values imputed by the median beforehand.</w:t>
      </w:r>
    </w:p>
    <w:p>
      <w:pPr>
        <w:pStyle w:val="ListParagraph"/>
        <w:numPr>
          <w:ilvl w:val="0"/>
          <w:numId w:val="1"/>
        </w:numPr>
        <w:spacing w:after="70" w:line="276"/>
      </w:pPr>
      <w:r>
        <w:rPr>
          <w:rFonts w:ascii="Calibri" w:cs="Calibri" w:eastAsia="Calibri" w:hAnsi="Calibri"/>
          <w:b/>
          <w:bCs/>
          <w:sz w:val="22"/>
          <w:szCs w:val="22"/>
        </w:rPr>
        <w:t xml:space="preserve">Train/test split: </w:t>
      </w:r>
      <w:r>
        <w:rPr>
          <w:rFonts w:ascii="Calibri" w:cs="Calibri" w:eastAsia="Calibri" w:hAnsi="Calibri"/>
          <w:sz w:val="22"/>
          <w:szCs w:val="22"/>
        </w:rPr>
        <w:t xml:space="preserve">The data was split into 80% training (5,634 rows) and 20% testing (1,409 rows), stratified on the Churn variable to preserve the class ratio (~26.5% churn) in both sets. The split was performed before fitting any preprocessing step to avoid data leakage.</w:t>
      </w:r>
    </w:p>
    <w:p>
      <w:pPr>
        <w:pStyle w:val="ListParagraph"/>
        <w:numPr>
          <w:ilvl w:val="0"/>
          <w:numId w:val="1"/>
        </w:numPr>
        <w:spacing w:after="70" w:line="276"/>
      </w:pPr>
      <w:r>
        <w:rPr>
          <w:rFonts w:ascii="Calibri" w:cs="Calibri" w:eastAsia="Calibri" w:hAnsi="Calibri"/>
          <w:b/>
          <w:bCs/>
          <w:sz w:val="22"/>
          <w:szCs w:val="22"/>
        </w:rPr>
        <w:t xml:space="preserve">Class imbalance handling: </w:t>
      </w:r>
      <w:r>
        <w:rPr>
          <w:rFonts w:ascii="Calibri" w:cs="Calibri" w:eastAsia="Calibri" w:hAnsi="Calibri"/>
          <w:sz w:val="22"/>
          <w:szCs w:val="22"/>
        </w:rPr>
        <w:t xml:space="preserve">After preprocessing, SMOTE (Synthetic Minority Over-sampling Technique) was applied to the training set only, balancing the classes from 4,139 vs. 1,495 to 4,139 vs. 4,139. Several models were additionally configured with class_weight='balanced' as a complementary measure.</w:t>
      </w:r>
    </w:p>
    <w:p>
      <w:pPr>
        <w:pStyle w:val="Heading1"/>
        <w:spacing w:after="160" w:before="320"/>
      </w:pPr>
      <w:r>
        <w:t xml:space="preserve">4. Exploratory Data Analysis (EDA)</w:t>
      </w:r>
    </w:p>
    <w:p>
      <w:pPr>
        <w:pStyle w:val="ListParagraph"/>
        <w:numPr>
          <w:ilvl w:val="0"/>
          <w:numId w:val="1"/>
        </w:numPr>
        <w:spacing w:after="70" w:line="276"/>
      </w:pPr>
      <w:r>
        <w:rPr>
          <w:rFonts w:ascii="Calibri" w:cs="Calibri" w:eastAsia="Calibri" w:hAnsi="Calibri"/>
          <w:b/>
          <w:bCs/>
          <w:sz w:val="22"/>
          <w:szCs w:val="22"/>
        </w:rPr>
        <w:t xml:space="preserve">Target distribution: </w:t>
      </w:r>
      <w:r>
        <w:rPr>
          <w:rFonts w:ascii="Calibri" w:cs="Calibri" w:eastAsia="Calibri" w:hAnsi="Calibri"/>
          <w:sz w:val="22"/>
          <w:szCs w:val="22"/>
        </w:rPr>
        <w:t xml:space="preserve">The countplot of Churn confirmed the class imbalance — roughly 73.5% of customers did not churn versus 26.5% who did.</w:t>
      </w:r>
    </w:p>
    <w:p>
      <w:pPr>
        <w:pStyle w:val="ListParagraph"/>
        <w:numPr>
          <w:ilvl w:val="0"/>
          <w:numId w:val="1"/>
        </w:numPr>
        <w:spacing w:after="70" w:line="276"/>
      </w:pPr>
      <w:r>
        <w:rPr>
          <w:rFonts w:ascii="Calibri" w:cs="Calibri" w:eastAsia="Calibri" w:hAnsi="Calibri"/>
          <w:b/>
          <w:bCs/>
          <w:sz w:val="22"/>
          <w:szCs w:val="22"/>
        </w:rPr>
        <w:t xml:space="preserve">Correlation heatmap: </w:t>
      </w:r>
      <w:r>
        <w:rPr>
          <w:rFonts w:ascii="Calibri" w:cs="Calibri" w:eastAsia="Calibri" w:hAnsi="Calibri"/>
          <w:sz w:val="22"/>
          <w:szCs w:val="22"/>
        </w:rPr>
        <w:t xml:space="preserve">A heatmap of the three numeric features against churn showed that tenure is negatively correlated with churn (longer-tenured customers churn less), while MonthlyCharges is positively correlated with churn.</w:t>
      </w:r>
    </w:p>
    <w:p>
      <w:pPr>
        <w:pStyle w:val="ListParagraph"/>
        <w:numPr>
          <w:ilvl w:val="0"/>
          <w:numId w:val="1"/>
        </w:numPr>
        <w:spacing w:after="70" w:line="276"/>
      </w:pPr>
      <w:r>
        <w:rPr>
          <w:rFonts w:ascii="Calibri" w:cs="Calibri" w:eastAsia="Calibri" w:hAnsi="Calibri"/>
          <w:b/>
          <w:bCs/>
          <w:sz w:val="22"/>
          <w:szCs w:val="22"/>
        </w:rPr>
        <w:t xml:space="preserve">Histograms: </w:t>
      </w:r>
      <w:r>
        <w:rPr>
          <w:rFonts w:ascii="Calibri" w:cs="Calibri" w:eastAsia="Calibri" w:hAnsi="Calibri"/>
          <w:sz w:val="22"/>
          <w:szCs w:val="22"/>
        </w:rPr>
        <w:t xml:space="preserve">Distribution plots of tenure, MonthlyCharges, and TotalCharges were used to inspect the shape and spread of these numeric variables.</w:t>
      </w:r>
    </w:p>
    <w:p>
      <w:pPr>
        <w:pStyle w:val="ListParagraph"/>
        <w:numPr>
          <w:ilvl w:val="0"/>
          <w:numId w:val="1"/>
        </w:numPr>
        <w:spacing w:after="70" w:line="276"/>
      </w:pPr>
      <w:r>
        <w:rPr>
          <w:rFonts w:ascii="Calibri" w:cs="Calibri" w:eastAsia="Calibri" w:hAnsi="Calibri"/>
          <w:b/>
          <w:bCs/>
          <w:sz w:val="22"/>
          <w:szCs w:val="22"/>
        </w:rPr>
        <w:t xml:space="preserve">Boxplots: </w:t>
      </w:r>
      <w:r>
        <w:rPr>
          <w:rFonts w:ascii="Calibri" w:cs="Calibri" w:eastAsia="Calibri" w:hAnsi="Calibri"/>
          <w:sz w:val="22"/>
          <w:szCs w:val="22"/>
        </w:rPr>
        <w:t xml:space="preserve">Boxplots combined with the IQR (Interquartile Range) method were used to check for outliers in the numeric features. No outliers were detected in tenure, MonthlyCharges, or TotalCharges, which is consistent with these values being naturally bounded by tenure limits and pricing plans.</w:t>
      </w:r>
    </w:p>
    <w:p>
      <w:pPr>
        <w:pStyle w:val="Heading2"/>
        <w:spacing w:after="120" w:before="220"/>
      </w:pPr>
      <w:r>
        <w:t xml:space="preserve">Key Observations</w:t>
      </w:r>
    </w:p>
    <w:p>
      <w:pPr>
        <w:pStyle w:val="ListParagraph"/>
        <w:numPr>
          <w:ilvl w:val="0"/>
          <w:numId w:val="1"/>
        </w:numPr>
        <w:spacing w:after="70" w:line="276"/>
      </w:pPr>
      <w:r>
        <w:rPr>
          <w:rFonts w:ascii="Calibri" w:cs="Calibri" w:eastAsia="Calibri" w:hAnsi="Calibri"/>
          <w:sz w:val="22"/>
          <w:szCs w:val="22"/>
        </w:rPr>
        <w:t xml:space="preserve">Customers on month-to-month contracts churn far more frequently than those on one- or two-year contracts.</w:t>
      </w:r>
    </w:p>
    <w:p>
      <w:pPr>
        <w:pStyle w:val="ListParagraph"/>
        <w:numPr>
          <w:ilvl w:val="0"/>
          <w:numId w:val="1"/>
        </w:numPr>
        <w:spacing w:after="70" w:line="276"/>
      </w:pPr>
      <w:r>
        <w:rPr>
          <w:rFonts w:ascii="Calibri" w:cs="Calibri" w:eastAsia="Calibri" w:hAnsi="Calibri"/>
          <w:sz w:val="22"/>
          <w:szCs w:val="22"/>
        </w:rPr>
        <w:t xml:space="preserve">Fiber optic internet customers churn more than DSL or no-internet customers.</w:t>
      </w:r>
    </w:p>
    <w:p>
      <w:pPr>
        <w:pStyle w:val="ListParagraph"/>
        <w:numPr>
          <w:ilvl w:val="0"/>
          <w:numId w:val="1"/>
        </w:numPr>
        <w:spacing w:after="70" w:line="276"/>
      </w:pPr>
      <w:r>
        <w:rPr>
          <w:rFonts w:ascii="Calibri" w:cs="Calibri" w:eastAsia="Calibri" w:hAnsi="Calibri"/>
          <w:sz w:val="22"/>
          <w:szCs w:val="22"/>
        </w:rPr>
        <w:t xml:space="preserve">Customers paying via electronic check show a noticeably higher churn rate than those using other payment methods.</w:t>
      </w:r>
    </w:p>
    <w:p>
      <w:pPr>
        <w:pStyle w:val="Heading1"/>
        <w:spacing w:after="160" w:before="320"/>
      </w:pPr>
      <w:r>
        <w:t xml:space="preserve">5. Feature Selection</w:t>
      </w:r>
    </w:p>
    <w:p>
      <w:pPr>
        <w:spacing w:after="140" w:line="276"/>
      </w:pPr>
      <w:r>
        <w:rPr>
          <w:rFonts w:ascii="Calibri" w:cs="Calibri" w:eastAsia="Calibri" w:hAnsi="Calibri"/>
          <w:sz w:val="22"/>
          <w:szCs w:val="22"/>
        </w:rPr>
        <w:t xml:space="preserve">After preprocessing, the dataset expanded to 46 encoded features. Several complementary feature selection methods were applied to identify the most informative predictors:</w:t>
      </w:r>
    </w:p>
    <w:p>
      <w:pPr>
        <w:pStyle w:val="ListParagraph"/>
        <w:numPr>
          <w:ilvl w:val="0"/>
          <w:numId w:val="1"/>
        </w:numPr>
        <w:spacing w:after="70" w:line="276"/>
      </w:pPr>
      <w:r>
        <w:rPr>
          <w:rFonts w:ascii="Calibri" w:cs="Calibri" w:eastAsia="Calibri" w:hAnsi="Calibri"/>
          <w:b/>
          <w:bCs/>
          <w:sz w:val="22"/>
          <w:szCs w:val="22"/>
        </w:rPr>
        <w:t xml:space="preserve">SelectFromModel: </w:t>
      </w:r>
      <w:r>
        <w:rPr>
          <w:rFonts w:ascii="Calibri" w:cs="Calibri" w:eastAsia="Calibri" w:hAnsi="Calibri"/>
          <w:sz w:val="22"/>
          <w:szCs w:val="22"/>
        </w:rPr>
        <w:t xml:space="preserve">A Random Forest classifier was used to rank features by impurity-based importance, and features scoring above the median importance were retained. This reduced the feature set from 46 to 23 features, which were used for all subsequent model comparison and tuning steps.</w:t>
      </w:r>
    </w:p>
    <w:p>
      <w:pPr>
        <w:pStyle w:val="ListParagraph"/>
        <w:numPr>
          <w:ilvl w:val="0"/>
          <w:numId w:val="1"/>
        </w:numPr>
        <w:spacing w:after="70" w:line="276"/>
      </w:pPr>
      <w:r>
        <w:rPr>
          <w:rFonts w:ascii="Calibri" w:cs="Calibri" w:eastAsia="Calibri" w:hAnsi="Calibri"/>
          <w:b/>
          <w:bCs/>
          <w:sz w:val="22"/>
          <w:szCs w:val="22"/>
        </w:rPr>
        <w:t xml:space="preserve">SelectKBest: </w:t>
      </w:r>
      <w:r>
        <w:rPr>
          <w:rFonts w:ascii="Calibri" w:cs="Calibri" w:eastAsia="Calibri" w:hAnsi="Calibri"/>
          <w:sz w:val="22"/>
          <w:szCs w:val="22"/>
        </w:rPr>
        <w:t xml:space="preserve">Features were additionally scored using mutual_info_classif, which captures non-linear dependencies between each feature and the target. Contract type, tenure, and technical support status ranked among the highest-scoring features.</w:t>
      </w:r>
    </w:p>
    <w:p>
      <w:pPr>
        <w:pStyle w:val="ListParagraph"/>
        <w:numPr>
          <w:ilvl w:val="0"/>
          <w:numId w:val="1"/>
        </w:numPr>
        <w:spacing w:after="70" w:line="276"/>
      </w:pPr>
      <w:r>
        <w:rPr>
          <w:rFonts w:ascii="Calibri" w:cs="Calibri" w:eastAsia="Calibri" w:hAnsi="Calibri"/>
          <w:b/>
          <w:bCs/>
          <w:sz w:val="22"/>
          <w:szCs w:val="22"/>
        </w:rPr>
        <w:t xml:space="preserve">Feature Importance (Decision Tree and Random Forest): </w:t>
      </w:r>
      <w:r>
        <w:rPr>
          <w:rFonts w:ascii="Calibri" w:cs="Calibri" w:eastAsia="Calibri" w:hAnsi="Calibri"/>
          <w:sz w:val="22"/>
          <w:szCs w:val="22"/>
        </w:rPr>
        <w:t xml:space="preserve">Impurity-based importance from both a Decision Tree and a Random Forest confirmed that contract type, total charges, monthly charges, and tenure are the strongest drivers of churn.</w:t>
      </w:r>
    </w:p>
    <w:p>
      <w:pPr>
        <w:spacing w:after="140" w:line="276"/>
      </w:pPr>
      <w:r>
        <w:rPr>
          <w:rFonts w:ascii="Calibri" w:cs="Calibri" w:eastAsia="Calibri" w:hAnsi="Calibri"/>
          <w:sz w:val="22"/>
          <w:szCs w:val="22"/>
        </w:rPr>
        <w:t xml:space="preserve">All four methods converged on the same top predictors — tenure, contract type, internet service, and billing charges — validating the robustness of the selected feature subset.</w:t>
      </w:r>
    </w:p>
    <w:p>
      <w:pPr>
        <w:pStyle w:val="Heading1"/>
        <w:spacing w:after="160" w:before="320"/>
      </w:pPr>
      <w:r>
        <w:t xml:space="preserve">6. Machine Learning Models</w:t>
      </w:r>
    </w:p>
    <w:p>
      <w:pPr>
        <w:spacing w:after="140" w:line="276"/>
      </w:pPr>
      <w:r>
        <w:rPr>
          <w:rFonts w:ascii="Calibri" w:cs="Calibri" w:eastAsia="Calibri" w:hAnsi="Calibri"/>
          <w:sz w:val="22"/>
          <w:szCs w:val="22"/>
        </w:rPr>
        <w:t xml:space="preserve">Ten classification algorithms were trained and compared:</w:t>
      </w:r>
    </w:p>
    <w:p>
      <w:pPr>
        <w:pStyle w:val="ListParagraph"/>
        <w:numPr>
          <w:ilvl w:val="0"/>
          <w:numId w:val="1"/>
        </w:numPr>
        <w:spacing w:after="70" w:line="276"/>
      </w:pPr>
      <w:r>
        <w:rPr>
          <w:rFonts w:ascii="Calibri" w:cs="Calibri" w:eastAsia="Calibri" w:hAnsi="Calibri"/>
          <w:sz w:val="22"/>
          <w:szCs w:val="22"/>
        </w:rPr>
        <w:t xml:space="preserve">Logistic Regression</w:t>
      </w:r>
    </w:p>
    <w:p>
      <w:pPr>
        <w:pStyle w:val="ListParagraph"/>
        <w:numPr>
          <w:ilvl w:val="0"/>
          <w:numId w:val="1"/>
        </w:numPr>
        <w:spacing w:after="70" w:line="276"/>
      </w:pPr>
      <w:r>
        <w:rPr>
          <w:rFonts w:ascii="Calibri" w:cs="Calibri" w:eastAsia="Calibri" w:hAnsi="Calibri"/>
          <w:sz w:val="22"/>
          <w:szCs w:val="22"/>
        </w:rPr>
        <w:t xml:space="preserve">K-Nearest Neighbors (KNN)</w:t>
      </w:r>
    </w:p>
    <w:p>
      <w:pPr>
        <w:pStyle w:val="ListParagraph"/>
        <w:numPr>
          <w:ilvl w:val="0"/>
          <w:numId w:val="1"/>
        </w:numPr>
        <w:spacing w:after="70" w:line="276"/>
      </w:pPr>
      <w:r>
        <w:rPr>
          <w:rFonts w:ascii="Calibri" w:cs="Calibri" w:eastAsia="Calibri" w:hAnsi="Calibri"/>
          <w:sz w:val="22"/>
          <w:szCs w:val="22"/>
        </w:rPr>
        <w:t xml:space="preserve">Decision Tree</w:t>
      </w:r>
    </w:p>
    <w:p>
      <w:pPr>
        <w:pStyle w:val="ListParagraph"/>
        <w:numPr>
          <w:ilvl w:val="0"/>
          <w:numId w:val="1"/>
        </w:numPr>
        <w:spacing w:after="70" w:line="276"/>
      </w:pPr>
      <w:r>
        <w:rPr>
          <w:rFonts w:ascii="Calibri" w:cs="Calibri" w:eastAsia="Calibri" w:hAnsi="Calibri"/>
          <w:sz w:val="22"/>
          <w:szCs w:val="22"/>
        </w:rPr>
        <w:t xml:space="preserve">Random Forest</w:t>
      </w:r>
    </w:p>
    <w:p>
      <w:pPr>
        <w:pStyle w:val="ListParagraph"/>
        <w:numPr>
          <w:ilvl w:val="0"/>
          <w:numId w:val="1"/>
        </w:numPr>
        <w:spacing w:after="70" w:line="276"/>
      </w:pPr>
      <w:r>
        <w:rPr>
          <w:rFonts w:ascii="Calibri" w:cs="Calibri" w:eastAsia="Calibri" w:hAnsi="Calibri"/>
          <w:sz w:val="22"/>
          <w:szCs w:val="22"/>
        </w:rPr>
        <w:t xml:space="preserve">Extra Trees</w:t>
      </w:r>
    </w:p>
    <w:p>
      <w:pPr>
        <w:pStyle w:val="ListParagraph"/>
        <w:numPr>
          <w:ilvl w:val="0"/>
          <w:numId w:val="1"/>
        </w:numPr>
        <w:spacing w:after="70" w:line="276"/>
      </w:pPr>
      <w:r>
        <w:rPr>
          <w:rFonts w:ascii="Calibri" w:cs="Calibri" w:eastAsia="Calibri" w:hAnsi="Calibri"/>
          <w:sz w:val="22"/>
          <w:szCs w:val="22"/>
        </w:rPr>
        <w:t xml:space="preserve">Gradient Boosting</w:t>
      </w:r>
    </w:p>
    <w:p>
      <w:pPr>
        <w:pStyle w:val="ListParagraph"/>
        <w:numPr>
          <w:ilvl w:val="0"/>
          <w:numId w:val="1"/>
        </w:numPr>
        <w:spacing w:after="70" w:line="276"/>
      </w:pPr>
      <w:r>
        <w:rPr>
          <w:rFonts w:ascii="Calibri" w:cs="Calibri" w:eastAsia="Calibri" w:hAnsi="Calibri"/>
          <w:sz w:val="22"/>
          <w:szCs w:val="22"/>
        </w:rPr>
        <w:t xml:space="preserve">AdaBoost</w:t>
      </w:r>
    </w:p>
    <w:p>
      <w:pPr>
        <w:pStyle w:val="ListParagraph"/>
        <w:numPr>
          <w:ilvl w:val="0"/>
          <w:numId w:val="1"/>
        </w:numPr>
        <w:spacing w:after="70" w:line="276"/>
      </w:pPr>
      <w:r>
        <w:rPr>
          <w:rFonts w:ascii="Calibri" w:cs="Calibri" w:eastAsia="Calibri" w:hAnsi="Calibri"/>
          <w:sz w:val="22"/>
          <w:szCs w:val="22"/>
        </w:rPr>
        <w:t xml:space="preserve">Support Vector Machine (SVM)</w:t>
      </w:r>
    </w:p>
    <w:p>
      <w:pPr>
        <w:pStyle w:val="ListParagraph"/>
        <w:numPr>
          <w:ilvl w:val="0"/>
          <w:numId w:val="1"/>
        </w:numPr>
        <w:spacing w:after="70" w:line="276"/>
      </w:pPr>
      <w:r>
        <w:rPr>
          <w:rFonts w:ascii="Calibri" w:cs="Calibri" w:eastAsia="Calibri" w:hAnsi="Calibri"/>
          <w:sz w:val="22"/>
          <w:szCs w:val="22"/>
        </w:rPr>
        <w:t xml:space="preserve">Gaussian Naive Bayes</w:t>
      </w:r>
    </w:p>
    <w:p>
      <w:pPr>
        <w:pStyle w:val="ListParagraph"/>
        <w:numPr>
          <w:ilvl w:val="0"/>
          <w:numId w:val="1"/>
        </w:numPr>
        <w:spacing w:after="70" w:line="276"/>
      </w:pPr>
      <w:r>
        <w:rPr>
          <w:rFonts w:ascii="Calibri" w:cs="Calibri" w:eastAsia="Calibri" w:hAnsi="Calibri"/>
          <w:sz w:val="22"/>
          <w:szCs w:val="22"/>
        </w:rPr>
        <w:t xml:space="preserve">Bagging Classifier</w:t>
      </w:r>
    </w:p>
    <w:p>
      <w:pPr>
        <w:spacing w:after="140" w:line="276"/>
      </w:pPr>
      <w:r>
        <w:rPr>
          <w:rFonts w:ascii="Calibri" w:cs="Calibri" w:eastAsia="Calibri" w:hAnsi="Calibri"/>
          <w:sz w:val="22"/>
          <w:szCs w:val="22"/>
        </w:rPr>
        <w:t xml:space="preserve">Each model was evaluated using 5-fold Stratified Cross-Validation on the training set, scored by the F1 metric — a more appropriate measure than accuracy given the class imbalance. The table below summarizes the mean cross-validated F1 score obtained for each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0"/>
        <w:gridCol w:w="3300"/>
      </w:tblGrid>
      <w:tr>
        <w:trPr>
          <w:tblHeader/>
        </w:trPr>
        <w:tc>
          <w:tcPr>
            <w:tcW w:type="dxa" w:w="6000"/>
            <w:shd w:fill="1F4E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Model</w:t>
            </w:r>
          </w:p>
        </w:tc>
        <w:tc>
          <w:tcPr>
            <w:tcW w:type="dxa" w:w="3300"/>
            <w:shd w:fill="1F4E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Mean CV F1 Score</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Random Forest</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0.8538</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Extra Trees</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0.8517</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Gradient Boosting</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0.8460</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Bagging Classifier</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0.8261</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AdaBoost</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0.8106</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KNN</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0.8103</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Decision Tree</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0.7807</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Logistic Regression</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0.7784</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SVM</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0.8009</w:t>
            </w:r>
          </w:p>
        </w:tc>
      </w:tr>
      <w:tr>
        <w:tc>
          <w:tcPr>
            <w:tcW w:type="dxa" w:w="60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Gaussian Naive Bayes</w:t>
            </w:r>
          </w:p>
        </w:tc>
        <w:tc>
          <w:tcPr>
            <w:tcW w:type="dxa" w:w="33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0.7722</w:t>
            </w:r>
          </w:p>
        </w:tc>
      </w:tr>
    </w:tbl>
    <w:p>
      <w:pPr>
        <w:spacing w:after="200"/>
      </w:pPr>
    </w:p>
    <w:p>
      <w:pPr>
        <w:spacing w:after="140" w:line="276"/>
      </w:pPr>
      <w:r>
        <w:rPr>
          <w:rFonts w:ascii="Calibri" w:cs="Calibri" w:eastAsia="Calibri" w:hAnsi="Calibri"/>
          <w:sz w:val="22"/>
          <w:szCs w:val="22"/>
        </w:rPr>
        <w:t xml:space="preserve">Each model was also fit on the training data and evaluated on the held-out test set across accuracy, precision, recall, F1 score, and ROC-AUC, providing a complete picture of performance before hyperparameter tuning.</w:t>
      </w:r>
    </w:p>
    <w:p>
      <w:pPr>
        <w:pStyle w:val="Heading1"/>
        <w:spacing w:after="160" w:before="320"/>
      </w:pPr>
      <w:r>
        <w:t xml:space="preserve">7. Hyperparameter Tuning</w:t>
      </w:r>
    </w:p>
    <w:p>
      <w:pPr>
        <w:spacing w:after="140" w:line="276"/>
      </w:pPr>
      <w:r>
        <w:rPr>
          <w:rFonts w:ascii="Calibri" w:cs="Calibri" w:eastAsia="Calibri" w:hAnsi="Calibri"/>
          <w:sz w:val="22"/>
          <w:szCs w:val="22"/>
        </w:rPr>
        <w:t xml:space="preserve">Based on the model comparison, a subset of top-performing models was selected for hyperparameter optimization using two complementary search strategies:</w:t>
      </w:r>
    </w:p>
    <w:p>
      <w:pPr>
        <w:pStyle w:val="ListParagraph"/>
        <w:numPr>
          <w:ilvl w:val="0"/>
          <w:numId w:val="1"/>
        </w:numPr>
        <w:spacing w:after="70" w:line="276"/>
      </w:pPr>
      <w:r>
        <w:rPr>
          <w:rFonts w:ascii="Calibri" w:cs="Calibri" w:eastAsia="Calibri" w:hAnsi="Calibri"/>
          <w:b/>
          <w:bCs/>
          <w:sz w:val="22"/>
          <w:szCs w:val="22"/>
        </w:rPr>
        <w:t xml:space="preserve">GridSearchCV: </w:t>
      </w:r>
      <w:r>
        <w:rPr>
          <w:rFonts w:ascii="Calibri" w:cs="Calibri" w:eastAsia="Calibri" w:hAnsi="Calibri"/>
          <w:sz w:val="22"/>
          <w:szCs w:val="22"/>
        </w:rPr>
        <w:t xml:space="preserve">An exhaustive search over a manually defined grid of hyperparameters, evaluated with 5-fold (and later 3-fold) stratified cross-validation and scored by F1. This guarantees the best combination within the specified grid is found, at the cost of higher computation time.</w:t>
      </w:r>
    </w:p>
    <w:p>
      <w:pPr>
        <w:pStyle w:val="ListParagraph"/>
        <w:numPr>
          <w:ilvl w:val="0"/>
          <w:numId w:val="1"/>
        </w:numPr>
        <w:spacing w:after="70" w:line="276"/>
      </w:pPr>
      <w:r>
        <w:rPr>
          <w:rFonts w:ascii="Calibri" w:cs="Calibri" w:eastAsia="Calibri" w:hAnsi="Calibri"/>
          <w:b/>
          <w:bCs/>
          <w:sz w:val="22"/>
          <w:szCs w:val="22"/>
        </w:rPr>
        <w:t xml:space="preserve">RandomizedSearchCV: </w:t>
      </w:r>
      <w:r>
        <w:rPr>
          <w:rFonts w:ascii="Calibri" w:cs="Calibri" w:eastAsia="Calibri" w:hAnsi="Calibri"/>
          <w:sz w:val="22"/>
          <w:szCs w:val="22"/>
        </w:rPr>
        <w:t xml:space="preserve">A randomized search over the same hyperparameter space (10 iterations), used to verify the GridSearchCV result and to explore the search space more efficiently when the grid is large.</w:t>
      </w:r>
    </w:p>
    <w:p>
      <w:pPr>
        <w:spacing w:after="140" w:line="276"/>
      </w:pPr>
      <w:r>
        <w:rPr>
          <w:rFonts w:ascii="Calibri" w:cs="Calibri" w:eastAsia="Calibri" w:hAnsi="Calibri"/>
          <w:sz w:val="22"/>
          <w:szCs w:val="22"/>
        </w:rPr>
        <w:t xml:space="preserve">Both methods were applied to the final candidate model — a Support Vector Machine (SVM) — with GridSearchCV finding the best parameters as kernel='rbf', C=10, and gamma='scale', achieving a best cross-validated F1 score of 0.823. RandomizedSearchCV converged to the same parameters and score. For comparison, the untuned (original) SVM achieved a cross-validated F1 score of 0.793, confirming that tuning meaningfully improved performance.</w:t>
      </w:r>
    </w:p>
    <w:p>
      <w:pPr>
        <w:pStyle w:val="Heading1"/>
        <w:spacing w:after="160" w:before="320"/>
      </w:pPr>
      <w:r>
        <w:t xml:space="preserve">8. Final Results</w:t>
      </w:r>
    </w:p>
    <w:p>
      <w:pPr>
        <w:spacing w:after="140" w:line="276"/>
      </w:pPr>
      <w:r>
        <w:rPr>
          <w:rFonts w:ascii="Calibri" w:cs="Calibri" w:eastAsia="Calibri" w:hAnsi="Calibri"/>
          <w:sz w:val="22"/>
          <w:szCs w:val="22"/>
        </w:rPr>
        <w:t xml:space="preserve">Since GridSearchCV and RandomizedSearchCV achieved equal cross-validated F1 scores, the GridSearchCV-tuned Support Vector Machine (SVM, kernel='rbf', C=10, gamma='scale') was selected as the final model. Its performance on the held-out test set is summarized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rPr>
          <w:tblHeader/>
        </w:trPr>
        <w:tc>
          <w:tcPr>
            <w:tcW w:type="dxa" w:w="4500"/>
            <w:shd w:fill="1F4E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Metric</w:t>
            </w:r>
          </w:p>
        </w:tc>
        <w:tc>
          <w:tcPr>
            <w:tcW w:type="dxa" w:w="4800"/>
            <w:shd w:fill="1F4E5F"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Score</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Best Model</w:t>
            </w:r>
          </w:p>
        </w:tc>
        <w:tc>
          <w:tcPr>
            <w:tcW w:type="dxa" w:w="48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Support Vector Machine (SVM), tuned via GridSearchCV</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Accuracy</w:t>
            </w:r>
          </w:p>
        </w:tc>
        <w:tc>
          <w:tcPr>
            <w:tcW w:type="dxa" w:w="48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0.7637</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Precision</w:t>
            </w:r>
          </w:p>
        </w:tc>
        <w:tc>
          <w:tcPr>
            <w:tcW w:type="dxa" w:w="48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0.5430</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Recall</w:t>
            </w:r>
          </w:p>
        </w:tc>
        <w:tc>
          <w:tcPr>
            <w:tcW w:type="dxa" w:w="48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0.6925</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F1 Score</w:t>
            </w:r>
          </w:p>
        </w:tc>
        <w:tc>
          <w:tcPr>
            <w:tcW w:type="dxa" w:w="48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0.6087</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ROC-AUC</w:t>
            </w:r>
          </w:p>
        </w:tc>
        <w:tc>
          <w:tcPr>
            <w:tcW w:type="dxa" w:w="4800"/>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0.8017</w:t>
            </w:r>
          </w:p>
        </w:tc>
      </w:tr>
    </w:tbl>
    <w:p>
      <w:pPr>
        <w:spacing w:after="200"/>
      </w:pPr>
    </w:p>
    <w:p>
      <w:pPr>
        <w:spacing w:after="140" w:line="276"/>
      </w:pPr>
      <w:r>
        <w:rPr>
          <w:rFonts w:ascii="Calibri" w:cs="Calibri" w:eastAsia="Calibri" w:hAnsi="Calibri"/>
          <w:sz w:val="22"/>
          <w:szCs w:val="22"/>
        </w:rPr>
        <w:t xml:space="preserve">The final model correctly identifies the majority of at-risk (churning) customers (recall ≈ 69%), which is valuable for a retention use case where missing a churner is generally costlier than a false alarm. As the tuned model uses an RBF kernel, it does not expose feature importances or coefficients, so this analysis is limited to the models evaluated earlier in the pipeline.</w:t>
      </w:r>
    </w:p>
    <w:p>
      <w:pPr>
        <w:pStyle w:val="Heading1"/>
        <w:spacing w:after="160" w:before="320"/>
      </w:pPr>
      <w:r>
        <w:t xml:space="preserve">9. Streamlit Application</w:t>
      </w:r>
    </w:p>
    <w:p>
      <w:pPr>
        <w:spacing w:after="140" w:line="276"/>
      </w:pPr>
      <w:r>
        <w:rPr>
          <w:rFonts w:ascii="Calibri" w:cs="Calibri" w:eastAsia="Calibri" w:hAnsi="Calibri"/>
          <w:sz w:val="22"/>
          <w:szCs w:val="22"/>
        </w:rPr>
        <w:t xml:space="preserve">The trained pipeline was persisted as two artifacts: preprocessor.pkl, containing the fitted ColumnTransformer (imputation, scaling, and one-hot encoding), and saved_model.pkl, containing a pipeline with the feature selection step followed by the final tuned classifier. A Streamlit application (app.py) loads both artifacts directly to serve real-time predictions: a user enters a customer's attributes (such as tenure, contract type, monthly charges, and subscribed services) into the app interface, the application applies the same preprocessing and feature selection used during training, and the tuned model returns a churn prediction along with the associated churn probability.</w:t>
      </w:r>
    </w:p>
    <w:p>
      <w:pPr>
        <w:pStyle w:val="Heading1"/>
        <w:spacing w:after="160" w:before="320"/>
      </w:pPr>
      <w:r>
        <w:t xml:space="preserve">10. Conclusion</w:t>
      </w:r>
    </w:p>
    <w:p>
      <w:pPr>
        <w:spacing w:after="140" w:line="276"/>
      </w:pPr>
      <w:r>
        <w:rPr>
          <w:rFonts w:ascii="Calibri" w:cs="Calibri" w:eastAsia="Calibri" w:hAnsi="Calibri"/>
          <w:sz w:val="22"/>
          <w:szCs w:val="22"/>
        </w:rPr>
        <w:t xml:space="preserve">This project delivered a complete machine learning pipeline for predicting customer churn in a telecommunications company, covering data cleaning, exploratory analysis, feature selection, comparison of ten classification algorithms, and hyperparameter tuning. The final tuned Support Vector Machine achieved a test ROC-AUC of 0.80 and an F1 score of 0.61, offering a reasonable balance between correctly identifying churners and limiting false positives. The model and preprocessing pipeline were deployed through a Streamlit application, enabling real-time churn predictions for new customers. Future improvements could include testing additional resampling strategies, exploring gradient-boosted libraries such as XGBoost or LightGBM, engineering additional interaction features, applying cost-sensitive threshold tuning to better reflect the business cost of missed churners, and monitoring model performance over time as customer behavior evolves.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4E5F"/>
      <w:sz w:val="32"/>
      <w:szCs w:val="32"/>
    </w:rPr>
  </w:style>
  <w:style w:type="paragraph" w:styleId="Heading2">
    <w:name w:val="Heading 2"/>
    <w:basedOn w:val="Normal"/>
    <w:next w:val="Normal"/>
    <w:qFormat/>
    <w:pPr>
      <w:spacing w:after="120" w:before="220"/>
    </w:pPr>
    <w:rPr>
      <w:rFonts w:ascii="Calibri" w:cs="Calibri" w:eastAsia="Calibri" w:hAnsi="Calibri"/>
      <w:b/>
      <w:bCs/>
      <w:color w:val="2E6E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2026-07-27T11:10:10.903Z</dcterms:created>
  <dcterms:modified xsi:type="dcterms:W3CDTF">2026-07-27T11:10:10.919Z</dcterms:modified>
</cp:coreProperties>
</file>

<file path=docProps/custom.xml><?xml version="1.0" encoding="utf-8"?>
<Properties xmlns="http://schemas.openxmlformats.org/officeDocument/2006/custom-properties" xmlns:vt="http://schemas.openxmlformats.org/officeDocument/2006/docPropsVTypes"/>
</file>